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6B58A" w14:textId="47E98F42" w:rsidR="00BC7E1F" w:rsidRPr="0022764B" w:rsidRDefault="00BC7E1F" w:rsidP="00BC7E1F">
      <w:pPr>
        <w:rPr>
          <w:b/>
          <w:bCs/>
          <w:sz w:val="32"/>
          <w:szCs w:val="32"/>
        </w:rPr>
      </w:pPr>
      <w:r w:rsidRPr="0022764B">
        <w:rPr>
          <w:b/>
          <w:bCs/>
          <w:sz w:val="32"/>
          <w:szCs w:val="32"/>
        </w:rPr>
        <w:t xml:space="preserve">Q&amp;A – </w:t>
      </w:r>
      <w:r w:rsidR="005E2FC5" w:rsidRPr="0022764B">
        <w:rPr>
          <w:b/>
          <w:bCs/>
          <w:sz w:val="32"/>
          <w:szCs w:val="32"/>
          <w:lang w:val="en-GB"/>
        </w:rPr>
        <w:t xml:space="preserve">The prohibition of </w:t>
      </w:r>
      <w:r w:rsidRPr="0022764B">
        <w:rPr>
          <w:b/>
          <w:bCs/>
          <w:sz w:val="32"/>
          <w:szCs w:val="32"/>
        </w:rPr>
        <w:t>TPO in Cosmetic Products</w:t>
      </w:r>
    </w:p>
    <w:p w14:paraId="453A530B" w14:textId="77777777" w:rsidR="0022764B" w:rsidRDefault="0022764B" w:rsidP="00BC7E1F">
      <w:pPr>
        <w:rPr>
          <w:b/>
          <w:bCs/>
          <w:sz w:val="24"/>
          <w:szCs w:val="24"/>
        </w:rPr>
      </w:pPr>
    </w:p>
    <w:p w14:paraId="19BF59AF" w14:textId="52208926" w:rsidR="00BC7E1F" w:rsidRPr="0022764B" w:rsidRDefault="00BC7E1F" w:rsidP="00BC7E1F">
      <w:pPr>
        <w:rPr>
          <w:sz w:val="24"/>
          <w:szCs w:val="24"/>
        </w:rPr>
      </w:pPr>
      <w:r w:rsidRPr="0022764B">
        <w:rPr>
          <w:b/>
          <w:bCs/>
          <w:sz w:val="24"/>
          <w:szCs w:val="24"/>
        </w:rPr>
        <w:t>Date:</w:t>
      </w:r>
      <w:r w:rsidRPr="0022764B">
        <w:rPr>
          <w:sz w:val="24"/>
          <w:szCs w:val="24"/>
        </w:rPr>
        <w:t xml:space="preserve"> </w:t>
      </w:r>
      <w:r w:rsidR="00B964A6" w:rsidRPr="0022764B">
        <w:rPr>
          <w:sz w:val="24"/>
          <w:szCs w:val="24"/>
        </w:rPr>
        <w:t>7</w:t>
      </w:r>
      <w:r w:rsidRPr="0022764B">
        <w:rPr>
          <w:sz w:val="24"/>
          <w:szCs w:val="24"/>
        </w:rPr>
        <w:t xml:space="preserve"> August 2025</w:t>
      </w:r>
      <w:r w:rsidRPr="0022764B">
        <w:rPr>
          <w:sz w:val="24"/>
          <w:szCs w:val="24"/>
        </w:rPr>
        <w:br/>
      </w:r>
      <w:r w:rsidRPr="0022764B">
        <w:rPr>
          <w:b/>
          <w:bCs/>
          <w:sz w:val="24"/>
          <w:szCs w:val="24"/>
        </w:rPr>
        <w:t>Subject:</w:t>
      </w:r>
      <w:r w:rsidRPr="0022764B">
        <w:rPr>
          <w:sz w:val="24"/>
          <w:szCs w:val="24"/>
        </w:rPr>
        <w:t xml:space="preserve"> Prohibition of Trimethylbenzoyl Diphenylphosphine Oxide (TPO) in cosmetic products as of 1 September 2025.</w:t>
      </w:r>
      <w:r w:rsidRPr="0022764B">
        <w:rPr>
          <w:sz w:val="24"/>
          <w:szCs w:val="24"/>
        </w:rPr>
        <w:br/>
      </w:r>
      <w:r w:rsidRPr="0022764B">
        <w:rPr>
          <w:b/>
          <w:bCs/>
          <w:sz w:val="24"/>
          <w:szCs w:val="24"/>
        </w:rPr>
        <w:t>Legal basis:</w:t>
      </w:r>
      <w:r w:rsidRPr="0022764B">
        <w:rPr>
          <w:sz w:val="24"/>
          <w:szCs w:val="24"/>
        </w:rPr>
        <w:t xml:space="preserve"> Article 15 of Regulation (EC) No 1223/2009 (Cosmetics Regulation)</w:t>
      </w:r>
    </w:p>
    <w:p w14:paraId="0394219B" w14:textId="77777777" w:rsidR="00BC7E1F" w:rsidRPr="0022764B" w:rsidRDefault="00BC7E1F" w:rsidP="00BC7E1F">
      <w:pPr>
        <w:jc w:val="both"/>
        <w:rPr>
          <w:b/>
          <w:bCs/>
          <w:sz w:val="24"/>
          <w:szCs w:val="24"/>
        </w:rPr>
      </w:pPr>
    </w:p>
    <w:p w14:paraId="3E70EC96" w14:textId="6AE8E488" w:rsidR="00BC7E1F" w:rsidRPr="0022764B" w:rsidRDefault="00BC7E1F" w:rsidP="00BC7E1F">
      <w:pPr>
        <w:jc w:val="both"/>
        <w:rPr>
          <w:sz w:val="28"/>
          <w:szCs w:val="28"/>
        </w:rPr>
      </w:pPr>
      <w:r w:rsidRPr="0022764B">
        <w:rPr>
          <w:b/>
          <w:bCs/>
          <w:sz w:val="28"/>
          <w:szCs w:val="28"/>
        </w:rPr>
        <w:t>Introduction</w:t>
      </w:r>
    </w:p>
    <w:p w14:paraId="0D30FB21" w14:textId="78AFB799" w:rsidR="00BC7E1F" w:rsidRPr="0022764B" w:rsidRDefault="00BC7E1F" w:rsidP="00BC7E1F">
      <w:pPr>
        <w:jc w:val="both"/>
        <w:rPr>
          <w:sz w:val="24"/>
          <w:szCs w:val="24"/>
        </w:rPr>
      </w:pPr>
      <w:r w:rsidRPr="0022764B">
        <w:rPr>
          <w:sz w:val="24"/>
          <w:szCs w:val="24"/>
        </w:rPr>
        <w:t xml:space="preserve">Following the adoption of </w:t>
      </w:r>
      <w:r w:rsidRPr="0022764B">
        <w:rPr>
          <w:b/>
          <w:bCs/>
          <w:sz w:val="24"/>
          <w:szCs w:val="24"/>
        </w:rPr>
        <w:t>Commission Regulation (EU) 2025/877</w:t>
      </w:r>
      <w:r w:rsidRPr="0022764B">
        <w:rPr>
          <w:sz w:val="24"/>
          <w:szCs w:val="24"/>
        </w:rPr>
        <w:t>, which prohibits among others the use of Trimethylbenzoyl Diphenylphosphine Oxide (TPO) in cosmetic products as of 1 September 2025, the Commission has received a significant number of queries from Member States, industry associations, and individual companies.</w:t>
      </w:r>
    </w:p>
    <w:p w14:paraId="2B1EE327" w14:textId="77777777" w:rsidR="00BC7E1F" w:rsidRPr="0022764B" w:rsidRDefault="00BC7E1F" w:rsidP="00BC7E1F">
      <w:pPr>
        <w:jc w:val="both"/>
        <w:rPr>
          <w:sz w:val="24"/>
          <w:szCs w:val="24"/>
        </w:rPr>
      </w:pPr>
      <w:r w:rsidRPr="0022764B">
        <w:rPr>
          <w:sz w:val="24"/>
          <w:szCs w:val="24"/>
        </w:rPr>
        <w:t>These questions often relate to the scope of the prohibition, its application to professional users, and the absence of a transitional period for the sale or use of existing stock. In addition, differing interpretations have been reported at national level, creating uncertainty among stakeholders and raising concerns about consistent enforcement across the EU.</w:t>
      </w:r>
    </w:p>
    <w:p w14:paraId="5AFD118E" w14:textId="43D6CAC6" w:rsidR="00BC7E1F" w:rsidRPr="0022764B" w:rsidRDefault="00BC7E1F" w:rsidP="00BC7E1F">
      <w:pPr>
        <w:jc w:val="both"/>
        <w:rPr>
          <w:sz w:val="24"/>
          <w:szCs w:val="24"/>
        </w:rPr>
      </w:pPr>
      <w:r w:rsidRPr="0022764B">
        <w:rPr>
          <w:sz w:val="24"/>
          <w:szCs w:val="24"/>
        </w:rPr>
        <w:t xml:space="preserve">To ensure a </w:t>
      </w:r>
      <w:r w:rsidR="005E2FC5" w:rsidRPr="0022764B">
        <w:rPr>
          <w:sz w:val="24"/>
          <w:szCs w:val="24"/>
          <w:lang w:val="en-GB"/>
        </w:rPr>
        <w:t xml:space="preserve">common </w:t>
      </w:r>
      <w:r w:rsidRPr="0022764B">
        <w:rPr>
          <w:sz w:val="24"/>
          <w:szCs w:val="24"/>
        </w:rPr>
        <w:t>understanding of th</w:t>
      </w:r>
      <w:r w:rsidR="001F5545" w:rsidRPr="0022764B">
        <w:rPr>
          <w:sz w:val="24"/>
          <w:szCs w:val="24"/>
          <w:lang w:val="en-GB"/>
        </w:rPr>
        <w:t>is prohibition</w:t>
      </w:r>
      <w:r w:rsidRPr="0022764B">
        <w:rPr>
          <w:sz w:val="24"/>
          <w:szCs w:val="24"/>
        </w:rPr>
        <w:t>, th</w:t>
      </w:r>
      <w:r w:rsidR="001F5545" w:rsidRPr="0022764B">
        <w:rPr>
          <w:sz w:val="24"/>
          <w:szCs w:val="24"/>
          <w:lang w:val="en-GB"/>
        </w:rPr>
        <w:t>is</w:t>
      </w:r>
      <w:r w:rsidRPr="0022764B">
        <w:rPr>
          <w:sz w:val="24"/>
          <w:szCs w:val="24"/>
        </w:rPr>
        <w:t xml:space="preserve"> </w:t>
      </w:r>
      <w:r w:rsidRPr="0022764B">
        <w:rPr>
          <w:b/>
          <w:bCs/>
          <w:sz w:val="24"/>
          <w:szCs w:val="24"/>
        </w:rPr>
        <w:t>Q&amp;A document</w:t>
      </w:r>
      <w:r w:rsidRPr="0022764B">
        <w:rPr>
          <w:sz w:val="24"/>
          <w:szCs w:val="24"/>
        </w:rPr>
        <w:t xml:space="preserve"> </w:t>
      </w:r>
      <w:r w:rsidR="001F5545" w:rsidRPr="0022764B">
        <w:rPr>
          <w:sz w:val="24"/>
          <w:szCs w:val="24"/>
          <w:lang w:val="en-GB"/>
        </w:rPr>
        <w:t xml:space="preserve">intends to </w:t>
      </w:r>
      <w:r w:rsidRPr="0022764B">
        <w:rPr>
          <w:sz w:val="24"/>
          <w:szCs w:val="24"/>
        </w:rPr>
        <w:t>clarify frequently misunderstood points such as the treatment of professional use, the role of CLP classification data, and the difference between the Cosmetics Regulation and REACH.</w:t>
      </w:r>
    </w:p>
    <w:p w14:paraId="39974BE1" w14:textId="0354A58E" w:rsidR="00BC7E1F" w:rsidRPr="0022764B" w:rsidRDefault="00BC7E1F" w:rsidP="0022764B">
      <w:pPr>
        <w:spacing w:after="360"/>
        <w:jc w:val="both"/>
        <w:rPr>
          <w:sz w:val="24"/>
          <w:szCs w:val="24"/>
        </w:rPr>
      </w:pPr>
      <w:r w:rsidRPr="0022764B">
        <w:rPr>
          <w:sz w:val="24"/>
          <w:szCs w:val="24"/>
        </w:rPr>
        <w:t xml:space="preserve">The aim is to provide </w:t>
      </w:r>
      <w:r w:rsidRPr="0022764B">
        <w:rPr>
          <w:b/>
          <w:bCs/>
          <w:sz w:val="24"/>
          <w:szCs w:val="24"/>
        </w:rPr>
        <w:t>clear, consistent, and factual guidance</w:t>
      </w:r>
      <w:r w:rsidRPr="0022764B">
        <w:rPr>
          <w:sz w:val="24"/>
          <w:szCs w:val="24"/>
        </w:rPr>
        <w:t xml:space="preserve"> for Member States, enforcement authorities, and </w:t>
      </w:r>
      <w:r w:rsidR="001F5545" w:rsidRPr="0022764B">
        <w:rPr>
          <w:sz w:val="24"/>
          <w:szCs w:val="24"/>
          <w:lang w:val="en-GB"/>
        </w:rPr>
        <w:t>businesses</w:t>
      </w:r>
      <w:r w:rsidRPr="0022764B">
        <w:rPr>
          <w:sz w:val="24"/>
          <w:szCs w:val="24"/>
        </w:rPr>
        <w:t>, t</w:t>
      </w:r>
      <w:r w:rsidR="00D9676B" w:rsidRPr="0022764B">
        <w:rPr>
          <w:sz w:val="24"/>
          <w:szCs w:val="24"/>
          <w:lang w:val="en-GB"/>
        </w:rPr>
        <w:t xml:space="preserve">o </w:t>
      </w:r>
      <w:r w:rsidRPr="0022764B">
        <w:rPr>
          <w:sz w:val="24"/>
          <w:szCs w:val="24"/>
        </w:rPr>
        <w:t xml:space="preserve">support </w:t>
      </w:r>
      <w:r w:rsidR="00D9676B" w:rsidRPr="0022764B">
        <w:rPr>
          <w:sz w:val="24"/>
          <w:szCs w:val="24"/>
          <w:lang w:val="en-GB"/>
        </w:rPr>
        <w:t xml:space="preserve">the </w:t>
      </w:r>
      <w:r w:rsidRPr="0022764B">
        <w:rPr>
          <w:sz w:val="24"/>
          <w:szCs w:val="24"/>
        </w:rPr>
        <w:t xml:space="preserve">coherent application of </w:t>
      </w:r>
      <w:r w:rsidR="00D9676B" w:rsidRPr="0022764B">
        <w:rPr>
          <w:sz w:val="24"/>
          <w:szCs w:val="24"/>
          <w:lang w:val="en-GB"/>
        </w:rPr>
        <w:t xml:space="preserve">the TPO prohibition </w:t>
      </w:r>
      <w:r w:rsidRPr="0022764B">
        <w:rPr>
          <w:sz w:val="24"/>
          <w:szCs w:val="24"/>
        </w:rPr>
        <w:t>in all jurisdictions.</w:t>
      </w:r>
    </w:p>
    <w:p w14:paraId="2407AABD" w14:textId="77777777" w:rsidR="00BC7E1F" w:rsidRPr="0022764B" w:rsidRDefault="00BC7E1F" w:rsidP="00BC7E1F">
      <w:pPr>
        <w:jc w:val="both"/>
        <w:rPr>
          <w:b/>
          <w:bCs/>
          <w:sz w:val="28"/>
          <w:szCs w:val="28"/>
        </w:rPr>
      </w:pPr>
      <w:r w:rsidRPr="0022764B">
        <w:rPr>
          <w:b/>
          <w:bCs/>
          <w:sz w:val="28"/>
          <w:szCs w:val="28"/>
        </w:rPr>
        <w:t>Q1 – What is the legal basis for the ban on TPO in cosmetic products?</w:t>
      </w:r>
    </w:p>
    <w:p w14:paraId="552DE176" w14:textId="31BC1A60" w:rsidR="00BC7E1F" w:rsidRPr="0022764B" w:rsidRDefault="00BC7E1F" w:rsidP="00BC7E1F">
      <w:pPr>
        <w:jc w:val="both"/>
        <w:rPr>
          <w:sz w:val="24"/>
          <w:szCs w:val="24"/>
          <w:lang w:val="en-GB"/>
        </w:rPr>
      </w:pPr>
      <w:r w:rsidRPr="0022764B">
        <w:rPr>
          <w:sz w:val="24"/>
          <w:szCs w:val="24"/>
        </w:rPr>
        <w:t xml:space="preserve">The prohibition is required by </w:t>
      </w:r>
      <w:r w:rsidRPr="0022764B">
        <w:rPr>
          <w:b/>
          <w:bCs/>
          <w:sz w:val="24"/>
          <w:szCs w:val="24"/>
        </w:rPr>
        <w:t>Article 15(2)</w:t>
      </w:r>
      <w:r w:rsidRPr="0022764B">
        <w:rPr>
          <w:sz w:val="24"/>
          <w:szCs w:val="24"/>
        </w:rPr>
        <w:t xml:space="preserve"> of the Cosmetics Regulation.</w:t>
      </w:r>
      <w:r w:rsidR="00D9676B" w:rsidRPr="0022764B">
        <w:rPr>
          <w:sz w:val="24"/>
          <w:szCs w:val="24"/>
          <w:lang w:val="en-GB"/>
        </w:rPr>
        <w:t xml:space="preserve"> It prohibits the use in cosmetic products of substances classified as CMR substances through the harmonised classification process, unless an exemption was requested and granted. In basic terms, when the harmonised classification as CMR substance starts applying, the prohibition to use this substance must also apply from the same moment.</w:t>
      </w:r>
    </w:p>
    <w:p w14:paraId="49CDC660" w14:textId="68BF90DE" w:rsidR="00D9676B" w:rsidRPr="0022764B" w:rsidRDefault="00D9676B" w:rsidP="00BC7E1F">
      <w:pPr>
        <w:jc w:val="both"/>
        <w:rPr>
          <w:sz w:val="24"/>
          <w:szCs w:val="24"/>
          <w:lang w:val="en-GB"/>
        </w:rPr>
      </w:pPr>
      <w:r w:rsidRPr="0022764B">
        <w:rPr>
          <w:sz w:val="24"/>
          <w:szCs w:val="24"/>
          <w:lang w:val="en-GB"/>
        </w:rPr>
        <w:t>This principle was also applied for TPO</w:t>
      </w:r>
      <w:r w:rsidR="00B964A6" w:rsidRPr="0022764B">
        <w:rPr>
          <w:sz w:val="24"/>
          <w:szCs w:val="24"/>
          <w:lang w:val="en-GB"/>
        </w:rPr>
        <w:t>:</w:t>
      </w:r>
      <w:r w:rsidRPr="0022764B">
        <w:rPr>
          <w:sz w:val="24"/>
          <w:szCs w:val="24"/>
          <w:lang w:val="en-GB"/>
        </w:rPr>
        <w:t xml:space="preserve"> </w:t>
      </w:r>
    </w:p>
    <w:p w14:paraId="5C2F4CAC" w14:textId="6E27D84B" w:rsidR="00BC7E1F" w:rsidRPr="0022764B" w:rsidRDefault="00BC7E1F" w:rsidP="00BC7E1F">
      <w:pPr>
        <w:numPr>
          <w:ilvl w:val="0"/>
          <w:numId w:val="1"/>
        </w:numPr>
        <w:jc w:val="both"/>
        <w:rPr>
          <w:sz w:val="24"/>
          <w:szCs w:val="24"/>
        </w:rPr>
      </w:pPr>
      <w:r w:rsidRPr="0022764B">
        <w:rPr>
          <w:sz w:val="24"/>
          <w:szCs w:val="24"/>
        </w:rPr>
        <w:t xml:space="preserve">TPO was classified as a </w:t>
      </w:r>
      <w:r w:rsidRPr="0022764B">
        <w:rPr>
          <w:b/>
          <w:bCs/>
          <w:sz w:val="24"/>
          <w:szCs w:val="24"/>
        </w:rPr>
        <w:t>CMR category 1B</w:t>
      </w:r>
      <w:r w:rsidRPr="0022764B">
        <w:rPr>
          <w:sz w:val="24"/>
          <w:szCs w:val="24"/>
        </w:rPr>
        <w:t xml:space="preserve"> reproductive toxicant by </w:t>
      </w:r>
      <w:r w:rsidRPr="0022764B">
        <w:rPr>
          <w:b/>
          <w:bCs/>
          <w:sz w:val="24"/>
          <w:szCs w:val="24"/>
        </w:rPr>
        <w:t>Commission Delegated Regulation (EU) 2024/197</w:t>
      </w:r>
      <w:r w:rsidRPr="0022764B">
        <w:rPr>
          <w:sz w:val="24"/>
          <w:szCs w:val="24"/>
        </w:rPr>
        <w:t xml:space="preserve"> under the CLP Regulation (Regulation (EC) No 1272/2008).</w:t>
      </w:r>
      <w:r w:rsidR="00D9676B" w:rsidRPr="0022764B">
        <w:rPr>
          <w:sz w:val="24"/>
          <w:szCs w:val="24"/>
          <w:lang w:val="en-GB"/>
        </w:rPr>
        <w:t xml:space="preserve"> This classification applies from </w:t>
      </w:r>
      <w:r w:rsidR="00D9676B" w:rsidRPr="0022764B">
        <w:rPr>
          <w:b/>
          <w:bCs/>
          <w:sz w:val="24"/>
          <w:szCs w:val="24"/>
          <w:lang w:val="en-GB"/>
        </w:rPr>
        <w:t>1 September 2025</w:t>
      </w:r>
      <w:r w:rsidR="00D9676B" w:rsidRPr="0022764B">
        <w:rPr>
          <w:sz w:val="24"/>
          <w:szCs w:val="24"/>
          <w:lang w:val="en-GB"/>
        </w:rPr>
        <w:t>.</w:t>
      </w:r>
    </w:p>
    <w:p w14:paraId="1D9D5667" w14:textId="1CC1332D" w:rsidR="00BC7E1F" w:rsidRPr="0022764B" w:rsidRDefault="00BC7E1F" w:rsidP="00BC7E1F">
      <w:pPr>
        <w:numPr>
          <w:ilvl w:val="0"/>
          <w:numId w:val="1"/>
        </w:numPr>
        <w:jc w:val="both"/>
        <w:rPr>
          <w:sz w:val="24"/>
          <w:szCs w:val="24"/>
        </w:rPr>
      </w:pPr>
      <w:r w:rsidRPr="0022764B">
        <w:rPr>
          <w:sz w:val="24"/>
          <w:szCs w:val="24"/>
        </w:rPr>
        <w:lastRenderedPageBreak/>
        <w:t xml:space="preserve">This classification triggered the </w:t>
      </w:r>
      <w:r w:rsidRPr="0022764B">
        <w:rPr>
          <w:b/>
          <w:bCs/>
          <w:sz w:val="24"/>
          <w:szCs w:val="24"/>
        </w:rPr>
        <w:t>mandatory inclusion</w:t>
      </w:r>
      <w:r w:rsidRPr="0022764B">
        <w:rPr>
          <w:sz w:val="24"/>
          <w:szCs w:val="24"/>
        </w:rPr>
        <w:t xml:space="preserve"> of TPO in </w:t>
      </w:r>
      <w:r w:rsidRPr="0022764B">
        <w:rPr>
          <w:b/>
          <w:bCs/>
          <w:sz w:val="24"/>
          <w:szCs w:val="24"/>
        </w:rPr>
        <w:t>Annex II (prohibited substances)</w:t>
      </w:r>
      <w:r w:rsidRPr="0022764B">
        <w:rPr>
          <w:sz w:val="24"/>
          <w:szCs w:val="24"/>
        </w:rPr>
        <w:t xml:space="preserve"> of the Cosmetics Regulation via </w:t>
      </w:r>
      <w:r w:rsidRPr="0022764B">
        <w:rPr>
          <w:b/>
          <w:bCs/>
          <w:sz w:val="24"/>
          <w:szCs w:val="24"/>
        </w:rPr>
        <w:t>Regulation (EU) 2025/877</w:t>
      </w:r>
      <w:r w:rsidRPr="0022764B">
        <w:rPr>
          <w:sz w:val="24"/>
          <w:szCs w:val="24"/>
        </w:rPr>
        <w:t>.</w:t>
      </w:r>
      <w:r w:rsidR="00AB4DEF" w:rsidRPr="0022764B">
        <w:rPr>
          <w:sz w:val="24"/>
          <w:szCs w:val="24"/>
          <w:lang w:val="en-GB"/>
        </w:rPr>
        <w:t xml:space="preserve"> According to the Cosmetics Regulation, this must apply at the </w:t>
      </w:r>
      <w:r w:rsidR="00AB4DEF" w:rsidRPr="0022764B">
        <w:rPr>
          <w:b/>
          <w:bCs/>
          <w:sz w:val="24"/>
          <w:szCs w:val="24"/>
          <w:lang w:val="en-GB"/>
        </w:rPr>
        <w:t>same date</w:t>
      </w:r>
      <w:r w:rsidR="00AB4DEF" w:rsidRPr="0022764B">
        <w:rPr>
          <w:sz w:val="24"/>
          <w:szCs w:val="24"/>
          <w:lang w:val="en-GB"/>
        </w:rPr>
        <w:t xml:space="preserve"> as the harmonised classification of TPO.</w:t>
      </w:r>
    </w:p>
    <w:p w14:paraId="0F6C804E" w14:textId="4D94C5C4" w:rsidR="00BC09FF" w:rsidRPr="0022764B" w:rsidRDefault="00BC09FF" w:rsidP="00BC7E1F">
      <w:pPr>
        <w:numPr>
          <w:ilvl w:val="0"/>
          <w:numId w:val="1"/>
        </w:numPr>
        <w:jc w:val="both"/>
        <w:rPr>
          <w:sz w:val="24"/>
          <w:szCs w:val="24"/>
        </w:rPr>
      </w:pPr>
      <w:r w:rsidRPr="0022764B">
        <w:rPr>
          <w:sz w:val="24"/>
          <w:szCs w:val="24"/>
        </w:rPr>
        <w:t>The mandatory inclusion of TPO in Annex II (prohibited substances) of the Cosmetics Regulation via Regulation (EU) 2025/877 was discussed with Member States prior to the adoption, and almost all Member States agreed with it</w:t>
      </w:r>
      <w:r w:rsidR="00456C42" w:rsidRPr="0022764B">
        <w:rPr>
          <w:rStyle w:val="af1"/>
          <w:sz w:val="24"/>
          <w:szCs w:val="24"/>
        </w:rPr>
        <w:footnoteReference w:id="1"/>
      </w:r>
      <w:r w:rsidRPr="0022764B">
        <w:rPr>
          <w:sz w:val="24"/>
          <w:szCs w:val="24"/>
        </w:rPr>
        <w:t>.</w:t>
      </w:r>
    </w:p>
    <w:p w14:paraId="380860D2" w14:textId="2452299F" w:rsidR="00BC7E1F" w:rsidRPr="0022764B" w:rsidRDefault="00BC7E1F" w:rsidP="00BC7E1F">
      <w:pPr>
        <w:numPr>
          <w:ilvl w:val="0"/>
          <w:numId w:val="1"/>
        </w:numPr>
        <w:jc w:val="both"/>
        <w:rPr>
          <w:sz w:val="24"/>
          <w:szCs w:val="24"/>
        </w:rPr>
      </w:pPr>
      <w:r w:rsidRPr="0022764B">
        <w:rPr>
          <w:sz w:val="24"/>
          <w:szCs w:val="24"/>
        </w:rPr>
        <w:t xml:space="preserve">The Commission has </w:t>
      </w:r>
      <w:r w:rsidRPr="0022764B">
        <w:rPr>
          <w:b/>
          <w:bCs/>
          <w:sz w:val="24"/>
          <w:szCs w:val="24"/>
        </w:rPr>
        <w:t>no discretion</w:t>
      </w:r>
      <w:r w:rsidRPr="0022764B">
        <w:rPr>
          <w:sz w:val="24"/>
          <w:szCs w:val="24"/>
        </w:rPr>
        <w:t xml:space="preserve"> to permit continued use unless a derogation under </w:t>
      </w:r>
      <w:r w:rsidRPr="0022764B">
        <w:rPr>
          <w:b/>
          <w:bCs/>
          <w:sz w:val="24"/>
          <w:szCs w:val="24"/>
        </w:rPr>
        <w:t>Article 15(2)</w:t>
      </w:r>
      <w:r w:rsidRPr="0022764B">
        <w:rPr>
          <w:sz w:val="24"/>
          <w:szCs w:val="24"/>
        </w:rPr>
        <w:t xml:space="preserve"> is granted, based on a complete scientific dossier, a favourable SCCS opinion and ful</w:t>
      </w:r>
      <w:r w:rsidR="009B55F0">
        <w:rPr>
          <w:sz w:val="24"/>
          <w:szCs w:val="24"/>
        </w:rPr>
        <w:t>f</w:t>
      </w:r>
      <w:r w:rsidRPr="0022764B">
        <w:rPr>
          <w:sz w:val="24"/>
          <w:szCs w:val="24"/>
        </w:rPr>
        <w:t>ilment of all other derogation criteria including the lack of alternatives, the demonstration of particular use of the product category with a known exposure, and compliance with the food safety requirements.</w:t>
      </w:r>
    </w:p>
    <w:p w14:paraId="347722FE" w14:textId="6272917B" w:rsidR="00BC7E1F" w:rsidRPr="0022764B" w:rsidRDefault="00BC7E1F" w:rsidP="0022764B">
      <w:pPr>
        <w:numPr>
          <w:ilvl w:val="0"/>
          <w:numId w:val="1"/>
        </w:numPr>
        <w:spacing w:after="360"/>
        <w:jc w:val="both"/>
        <w:rPr>
          <w:sz w:val="24"/>
          <w:szCs w:val="24"/>
        </w:rPr>
      </w:pPr>
      <w:r w:rsidRPr="0022764B">
        <w:rPr>
          <w:sz w:val="24"/>
          <w:szCs w:val="24"/>
        </w:rPr>
        <w:t>No</w:t>
      </w:r>
      <w:r w:rsidR="00AB4DEF" w:rsidRPr="0022764B">
        <w:rPr>
          <w:sz w:val="24"/>
          <w:szCs w:val="24"/>
          <w:lang w:val="en-GB"/>
        </w:rPr>
        <w:t>body submitted a</w:t>
      </w:r>
      <w:r w:rsidRPr="0022764B">
        <w:rPr>
          <w:sz w:val="24"/>
          <w:szCs w:val="24"/>
        </w:rPr>
        <w:t xml:space="preserve"> derogation request for TPO before the adoption of Regulation (EU) 2025/877.</w:t>
      </w:r>
    </w:p>
    <w:p w14:paraId="3B20DBEB" w14:textId="7224F867" w:rsidR="00432E86" w:rsidRPr="0022764B" w:rsidRDefault="00432E86" w:rsidP="00432E86">
      <w:pPr>
        <w:jc w:val="both"/>
        <w:rPr>
          <w:b/>
          <w:bCs/>
          <w:sz w:val="28"/>
          <w:szCs w:val="28"/>
        </w:rPr>
      </w:pPr>
      <w:r w:rsidRPr="0022764B">
        <w:rPr>
          <w:b/>
          <w:bCs/>
          <w:sz w:val="28"/>
          <w:szCs w:val="28"/>
        </w:rPr>
        <w:t xml:space="preserve">Q2 – </w:t>
      </w:r>
      <w:r w:rsidR="00AB4DEF" w:rsidRPr="0022764B">
        <w:rPr>
          <w:b/>
          <w:bCs/>
          <w:sz w:val="28"/>
          <w:szCs w:val="28"/>
          <w:lang w:val="en-GB"/>
        </w:rPr>
        <w:t>Can cosmetic products containing TPO still be sold from 1 September 2025 onwards?</w:t>
      </w:r>
    </w:p>
    <w:p w14:paraId="44E60B8C" w14:textId="77777777" w:rsidR="00432E86" w:rsidRPr="0022764B" w:rsidRDefault="00432E86" w:rsidP="00432E86">
      <w:pPr>
        <w:jc w:val="both"/>
        <w:rPr>
          <w:sz w:val="24"/>
          <w:szCs w:val="24"/>
        </w:rPr>
      </w:pPr>
      <w:r w:rsidRPr="0022764B">
        <w:rPr>
          <w:sz w:val="24"/>
          <w:szCs w:val="24"/>
        </w:rPr>
        <w:t xml:space="preserve">From </w:t>
      </w:r>
      <w:r w:rsidRPr="0022764B">
        <w:rPr>
          <w:b/>
          <w:bCs/>
          <w:sz w:val="24"/>
          <w:szCs w:val="24"/>
        </w:rPr>
        <w:t>1 September 2025</w:t>
      </w:r>
      <w:r w:rsidRPr="0022764B">
        <w:rPr>
          <w:sz w:val="24"/>
          <w:szCs w:val="24"/>
        </w:rPr>
        <w:t xml:space="preserve">, </w:t>
      </w:r>
      <w:r w:rsidRPr="0022764B">
        <w:rPr>
          <w:b/>
          <w:bCs/>
          <w:sz w:val="24"/>
          <w:szCs w:val="24"/>
        </w:rPr>
        <w:t xml:space="preserve">both placing </w:t>
      </w:r>
      <w:r w:rsidRPr="0022764B">
        <w:rPr>
          <w:b/>
          <w:bCs/>
          <w:sz w:val="24"/>
          <w:szCs w:val="24"/>
          <w:u w:val="single"/>
        </w:rPr>
        <w:t>and</w:t>
      </w:r>
      <w:r w:rsidRPr="0022764B">
        <w:rPr>
          <w:b/>
          <w:bCs/>
          <w:sz w:val="24"/>
          <w:szCs w:val="24"/>
        </w:rPr>
        <w:t xml:space="preserve"> making available on the market</w:t>
      </w:r>
      <w:r w:rsidRPr="0022764B">
        <w:rPr>
          <w:sz w:val="24"/>
          <w:szCs w:val="24"/>
        </w:rPr>
        <w:t xml:space="preserve"> of cosmetic products containing TPO are prohibited. This means that:</w:t>
      </w:r>
    </w:p>
    <w:p w14:paraId="4855C10B" w14:textId="2BCA81D0" w:rsidR="00432E86" w:rsidRPr="0022764B" w:rsidRDefault="00AB4DEF" w:rsidP="00432E86">
      <w:pPr>
        <w:numPr>
          <w:ilvl w:val="0"/>
          <w:numId w:val="12"/>
        </w:numPr>
        <w:jc w:val="both"/>
        <w:rPr>
          <w:sz w:val="24"/>
          <w:szCs w:val="24"/>
        </w:rPr>
      </w:pPr>
      <w:r w:rsidRPr="0022764B">
        <w:rPr>
          <w:sz w:val="24"/>
          <w:szCs w:val="24"/>
          <w:lang w:val="en-GB"/>
        </w:rPr>
        <w:t>New p</w:t>
      </w:r>
      <w:r w:rsidR="00432E86" w:rsidRPr="0022764B">
        <w:rPr>
          <w:sz w:val="24"/>
          <w:szCs w:val="24"/>
        </w:rPr>
        <w:t xml:space="preserve">roducts containing TPO cannot be placed on the market </w:t>
      </w:r>
      <w:r w:rsidRPr="0022764B">
        <w:rPr>
          <w:sz w:val="24"/>
          <w:szCs w:val="24"/>
          <w:lang w:val="en-GB"/>
        </w:rPr>
        <w:t>from</w:t>
      </w:r>
      <w:r w:rsidR="00432E86" w:rsidRPr="0022764B">
        <w:rPr>
          <w:sz w:val="24"/>
          <w:szCs w:val="24"/>
        </w:rPr>
        <w:t xml:space="preserve"> that date.</w:t>
      </w:r>
    </w:p>
    <w:p w14:paraId="1CDB8BE7" w14:textId="1DE638B7" w:rsidR="00432E86" w:rsidRPr="0022764B" w:rsidRDefault="00432E86" w:rsidP="00432E86">
      <w:pPr>
        <w:numPr>
          <w:ilvl w:val="0"/>
          <w:numId w:val="12"/>
        </w:numPr>
        <w:jc w:val="both"/>
        <w:rPr>
          <w:sz w:val="24"/>
          <w:szCs w:val="24"/>
        </w:rPr>
      </w:pPr>
      <w:r w:rsidRPr="0022764B">
        <w:rPr>
          <w:sz w:val="24"/>
          <w:szCs w:val="24"/>
        </w:rPr>
        <w:t>Products already placed on the market before that date cannot continue to be supplied, transferred, or otherwise made available to another person in the course of commercial activity.</w:t>
      </w:r>
      <w:r w:rsidR="00AB4DEF" w:rsidRPr="0022764B">
        <w:rPr>
          <w:sz w:val="24"/>
          <w:szCs w:val="24"/>
          <w:lang w:val="en-GB"/>
        </w:rPr>
        <w:t xml:space="preserve"> In other words, professionals in the cosmetic businesses may not sell these products in the EU, nor may they give these products away.</w:t>
      </w:r>
    </w:p>
    <w:p w14:paraId="3A50982D" w14:textId="15182165" w:rsidR="00AB4DEF" w:rsidRPr="0022764B" w:rsidRDefault="00AB4DEF" w:rsidP="00AB4DEF">
      <w:pPr>
        <w:jc w:val="both"/>
        <w:rPr>
          <w:sz w:val="24"/>
          <w:szCs w:val="24"/>
        </w:rPr>
      </w:pPr>
      <w:r w:rsidRPr="0022764B">
        <w:rPr>
          <w:b/>
          <w:bCs/>
          <w:sz w:val="24"/>
          <w:szCs w:val="24"/>
        </w:rPr>
        <w:t>Placing on the market</w:t>
      </w:r>
      <w:r w:rsidRPr="0022764B">
        <w:rPr>
          <w:sz w:val="24"/>
          <w:szCs w:val="24"/>
        </w:rPr>
        <w:t xml:space="preserve"> mea</w:t>
      </w:r>
      <w:bookmarkStart w:id="0" w:name="_GoBack"/>
      <w:bookmarkEnd w:id="0"/>
      <w:r w:rsidRPr="0022764B">
        <w:rPr>
          <w:sz w:val="24"/>
          <w:szCs w:val="24"/>
        </w:rPr>
        <w:t xml:space="preserve">ns the first time a cosmetic product is supplied for distribution, consumption, or use on the EU market in the course of a commercial activity (Article 2(1)(g) </w:t>
      </w:r>
      <w:r w:rsidR="00B77DED" w:rsidRPr="0022764B">
        <w:rPr>
          <w:sz w:val="24"/>
          <w:szCs w:val="24"/>
        </w:rPr>
        <w:t xml:space="preserve">of the </w:t>
      </w:r>
      <w:r w:rsidRPr="0022764B">
        <w:rPr>
          <w:sz w:val="24"/>
          <w:szCs w:val="24"/>
        </w:rPr>
        <w:t>C</w:t>
      </w:r>
      <w:r w:rsidRPr="0022764B">
        <w:rPr>
          <w:sz w:val="24"/>
          <w:szCs w:val="24"/>
          <w:lang w:val="en-GB"/>
        </w:rPr>
        <w:t>osmetics Regulation</w:t>
      </w:r>
      <w:r w:rsidRPr="0022764B">
        <w:rPr>
          <w:sz w:val="24"/>
          <w:szCs w:val="24"/>
        </w:rPr>
        <w:t>). This is typically done by the manufacturer, importer, or distributor.</w:t>
      </w:r>
    </w:p>
    <w:p w14:paraId="2D92ECA5" w14:textId="68B7D400" w:rsidR="00432E86" w:rsidRPr="0022764B" w:rsidRDefault="00AB4DEF" w:rsidP="0022764B">
      <w:pPr>
        <w:spacing w:after="360"/>
        <w:jc w:val="both"/>
        <w:rPr>
          <w:sz w:val="24"/>
          <w:szCs w:val="24"/>
        </w:rPr>
      </w:pPr>
      <w:r w:rsidRPr="0022764B">
        <w:rPr>
          <w:b/>
          <w:bCs/>
          <w:sz w:val="24"/>
          <w:szCs w:val="24"/>
        </w:rPr>
        <w:t>Making available on the market</w:t>
      </w:r>
      <w:r w:rsidRPr="0022764B">
        <w:rPr>
          <w:sz w:val="24"/>
          <w:szCs w:val="24"/>
        </w:rPr>
        <w:t xml:space="preserve"> means any subsequent supply of a cosmetic product for distribution, consumption, or use on the EU market in the course of a commercial activity, whether in return for payment or free of charge. This includes wholesale, retail sales, and supplies to professionals.</w:t>
      </w:r>
    </w:p>
    <w:p w14:paraId="788D339B" w14:textId="5D03B3D2" w:rsidR="00432E86" w:rsidRPr="0022764B" w:rsidRDefault="00432E86" w:rsidP="00432E86">
      <w:pPr>
        <w:jc w:val="both"/>
        <w:rPr>
          <w:b/>
          <w:bCs/>
          <w:sz w:val="28"/>
          <w:szCs w:val="28"/>
        </w:rPr>
      </w:pPr>
      <w:r w:rsidRPr="0022764B">
        <w:rPr>
          <w:b/>
          <w:bCs/>
          <w:sz w:val="28"/>
          <w:szCs w:val="28"/>
        </w:rPr>
        <w:t>Q3 – How does the prohibition apply to professional users?</w:t>
      </w:r>
    </w:p>
    <w:p w14:paraId="477B522A" w14:textId="286B8174" w:rsidR="00432E86" w:rsidRPr="0022764B" w:rsidRDefault="00432E86" w:rsidP="00432E86">
      <w:pPr>
        <w:numPr>
          <w:ilvl w:val="0"/>
          <w:numId w:val="13"/>
        </w:numPr>
        <w:jc w:val="both"/>
        <w:rPr>
          <w:sz w:val="24"/>
          <w:szCs w:val="24"/>
        </w:rPr>
      </w:pPr>
      <w:r w:rsidRPr="0022764B">
        <w:rPr>
          <w:sz w:val="24"/>
          <w:szCs w:val="24"/>
        </w:rPr>
        <w:t xml:space="preserve">Professional users, such as nail technicians, use cosmetic products in the course of providing a paid service, as part of a </w:t>
      </w:r>
      <w:r w:rsidRPr="0022764B">
        <w:rPr>
          <w:b/>
          <w:bCs/>
          <w:sz w:val="24"/>
          <w:szCs w:val="24"/>
        </w:rPr>
        <w:t>commercial activity</w:t>
      </w:r>
      <w:r w:rsidRPr="0022764B">
        <w:rPr>
          <w:sz w:val="24"/>
          <w:szCs w:val="24"/>
        </w:rPr>
        <w:t>.</w:t>
      </w:r>
    </w:p>
    <w:p w14:paraId="711C0CBE" w14:textId="41EC46EE" w:rsidR="00432E86" w:rsidRPr="0022764B" w:rsidRDefault="00C60EFB" w:rsidP="00432E86">
      <w:pPr>
        <w:numPr>
          <w:ilvl w:val="0"/>
          <w:numId w:val="14"/>
        </w:numPr>
        <w:jc w:val="both"/>
        <w:rPr>
          <w:sz w:val="24"/>
          <w:szCs w:val="24"/>
        </w:rPr>
      </w:pPr>
      <w:r w:rsidRPr="0022764B">
        <w:rPr>
          <w:sz w:val="24"/>
          <w:szCs w:val="24"/>
          <w:lang w:val="en-GB"/>
        </w:rPr>
        <w:lastRenderedPageBreak/>
        <w:t>Therefore, a</w:t>
      </w:r>
      <w:r w:rsidR="00432E86" w:rsidRPr="0022764B">
        <w:rPr>
          <w:sz w:val="24"/>
          <w:szCs w:val="24"/>
        </w:rPr>
        <w:t xml:space="preserve"> </w:t>
      </w:r>
      <w:r w:rsidR="00432E86" w:rsidRPr="0022764B">
        <w:rPr>
          <w:b/>
          <w:bCs/>
          <w:sz w:val="24"/>
          <w:szCs w:val="24"/>
        </w:rPr>
        <w:t>professional user</w:t>
      </w:r>
      <w:r w:rsidR="00432E86" w:rsidRPr="0022764B">
        <w:rPr>
          <w:sz w:val="24"/>
          <w:szCs w:val="24"/>
        </w:rPr>
        <w:t xml:space="preserve"> (e.g. nail technician, salon) cannot use such a product on clients </w:t>
      </w:r>
      <w:r w:rsidR="00AB4DEF" w:rsidRPr="0022764B">
        <w:rPr>
          <w:sz w:val="24"/>
          <w:szCs w:val="24"/>
          <w:lang w:val="en-GB"/>
        </w:rPr>
        <w:t xml:space="preserve">from </w:t>
      </w:r>
      <w:r w:rsidR="00432E86" w:rsidRPr="0022764B">
        <w:rPr>
          <w:sz w:val="24"/>
          <w:szCs w:val="24"/>
        </w:rPr>
        <w:t>1 September 2025</w:t>
      </w:r>
      <w:r w:rsidR="00AB4DEF" w:rsidRPr="0022764B">
        <w:rPr>
          <w:sz w:val="24"/>
          <w:szCs w:val="24"/>
          <w:lang w:val="en-GB"/>
        </w:rPr>
        <w:t xml:space="preserve"> onwards</w:t>
      </w:r>
      <w:r w:rsidR="00432E86" w:rsidRPr="0022764B">
        <w:rPr>
          <w:sz w:val="24"/>
          <w:szCs w:val="24"/>
        </w:rPr>
        <w:t>, because this constitutes “making available on the market” in the course of a commercial activity.</w:t>
      </w:r>
    </w:p>
    <w:p w14:paraId="5C21C770" w14:textId="77777777" w:rsidR="00432E86" w:rsidRPr="0022764B" w:rsidRDefault="00432E86" w:rsidP="00432E86">
      <w:pPr>
        <w:numPr>
          <w:ilvl w:val="0"/>
          <w:numId w:val="14"/>
        </w:numPr>
        <w:jc w:val="both"/>
        <w:rPr>
          <w:sz w:val="24"/>
          <w:szCs w:val="24"/>
        </w:rPr>
      </w:pPr>
      <w:r w:rsidRPr="0022764B">
        <w:rPr>
          <w:sz w:val="24"/>
          <w:szCs w:val="24"/>
        </w:rPr>
        <w:t>This applies regardless of whether the product was purchased before the cut-off date.</w:t>
      </w:r>
    </w:p>
    <w:p w14:paraId="7F51A31F" w14:textId="15F631FC" w:rsidR="00BC7E1F" w:rsidRPr="0022764B" w:rsidRDefault="00BC7E1F" w:rsidP="00BC7E1F">
      <w:pPr>
        <w:jc w:val="both"/>
        <w:rPr>
          <w:b/>
          <w:bCs/>
          <w:sz w:val="28"/>
          <w:szCs w:val="28"/>
        </w:rPr>
      </w:pPr>
      <w:r w:rsidRPr="0022764B">
        <w:rPr>
          <w:b/>
          <w:bCs/>
          <w:sz w:val="28"/>
          <w:szCs w:val="28"/>
        </w:rPr>
        <w:t>Q</w:t>
      </w:r>
      <w:r w:rsidR="00AD3C6C" w:rsidRPr="0022764B">
        <w:rPr>
          <w:b/>
          <w:bCs/>
          <w:sz w:val="28"/>
          <w:szCs w:val="28"/>
        </w:rPr>
        <w:t>4</w:t>
      </w:r>
      <w:r w:rsidRPr="0022764B">
        <w:rPr>
          <w:b/>
          <w:bCs/>
          <w:sz w:val="28"/>
          <w:szCs w:val="28"/>
        </w:rPr>
        <w:t xml:space="preserve"> – What about products that were lawfully placed on the market before 1 September 2025?</w:t>
      </w:r>
    </w:p>
    <w:p w14:paraId="79EBE5E7" w14:textId="77777777" w:rsidR="00BC7E1F" w:rsidRPr="0022764B" w:rsidRDefault="00BC7E1F" w:rsidP="00BC7E1F">
      <w:pPr>
        <w:jc w:val="both"/>
        <w:rPr>
          <w:sz w:val="24"/>
          <w:szCs w:val="24"/>
        </w:rPr>
      </w:pPr>
      <w:r w:rsidRPr="0022764B">
        <w:rPr>
          <w:sz w:val="24"/>
          <w:szCs w:val="24"/>
        </w:rPr>
        <w:t xml:space="preserve">The Cosmetics Regulation does </w:t>
      </w:r>
      <w:r w:rsidRPr="0022764B">
        <w:rPr>
          <w:b/>
          <w:bCs/>
          <w:sz w:val="24"/>
          <w:szCs w:val="24"/>
        </w:rPr>
        <w:t>not</w:t>
      </w:r>
      <w:r w:rsidRPr="0022764B">
        <w:rPr>
          <w:sz w:val="24"/>
          <w:szCs w:val="24"/>
        </w:rPr>
        <w:t xml:space="preserve"> contain a “sell-through” or “use-up” provision for CMR category 1A or 1B substances.</w:t>
      </w:r>
    </w:p>
    <w:p w14:paraId="69DFC2AE" w14:textId="45AFD33A" w:rsidR="00BC7E1F" w:rsidRPr="0022764B" w:rsidRDefault="00C60EFB" w:rsidP="0022764B">
      <w:pPr>
        <w:spacing w:after="360"/>
        <w:ind w:left="360"/>
        <w:jc w:val="both"/>
        <w:rPr>
          <w:sz w:val="24"/>
          <w:szCs w:val="24"/>
        </w:rPr>
      </w:pPr>
      <w:r w:rsidRPr="0022764B">
        <w:rPr>
          <w:sz w:val="24"/>
          <w:szCs w:val="24"/>
          <w:lang w:val="en-GB"/>
        </w:rPr>
        <w:t>From 1 September 2025 onwards</w:t>
      </w:r>
      <w:r w:rsidR="00BC7E1F" w:rsidRPr="0022764B">
        <w:rPr>
          <w:sz w:val="24"/>
          <w:szCs w:val="24"/>
        </w:rPr>
        <w:t xml:space="preserve">, </w:t>
      </w:r>
      <w:r w:rsidR="00BC7E1F" w:rsidRPr="0022764B">
        <w:rPr>
          <w:b/>
          <w:bCs/>
          <w:sz w:val="24"/>
          <w:szCs w:val="24"/>
        </w:rPr>
        <w:t>all placing on the market and making available in the course of commercial activity must stop</w:t>
      </w:r>
      <w:r w:rsidR="00BC7E1F" w:rsidRPr="0022764B">
        <w:rPr>
          <w:sz w:val="24"/>
          <w:szCs w:val="24"/>
        </w:rPr>
        <w:t>, even for products already in stock or purchased before that date.</w:t>
      </w:r>
    </w:p>
    <w:p w14:paraId="52148D55" w14:textId="354CA3DC" w:rsidR="00BC7E1F" w:rsidRPr="0022764B" w:rsidRDefault="00BC7E1F" w:rsidP="00BC7E1F">
      <w:pPr>
        <w:jc w:val="both"/>
        <w:rPr>
          <w:b/>
          <w:bCs/>
          <w:sz w:val="28"/>
          <w:szCs w:val="28"/>
        </w:rPr>
      </w:pPr>
      <w:r w:rsidRPr="0022764B">
        <w:rPr>
          <w:b/>
          <w:bCs/>
          <w:sz w:val="28"/>
          <w:szCs w:val="28"/>
        </w:rPr>
        <w:t>Q</w:t>
      </w:r>
      <w:r w:rsidR="0022764B" w:rsidRPr="0022764B">
        <w:rPr>
          <w:b/>
          <w:bCs/>
          <w:sz w:val="28"/>
          <w:szCs w:val="28"/>
        </w:rPr>
        <w:t>5</w:t>
      </w:r>
      <w:r w:rsidRPr="0022764B">
        <w:rPr>
          <w:b/>
          <w:bCs/>
          <w:sz w:val="28"/>
          <w:szCs w:val="28"/>
        </w:rPr>
        <w:t xml:space="preserve"> – How does this compare to the REACH microplastics/glitter ban, which had long transition periods?</w:t>
      </w:r>
    </w:p>
    <w:p w14:paraId="797ECCA5" w14:textId="77777777" w:rsidR="00BC7E1F" w:rsidRPr="0022764B" w:rsidRDefault="00BC7E1F" w:rsidP="00BC7E1F">
      <w:pPr>
        <w:jc w:val="both"/>
        <w:rPr>
          <w:sz w:val="24"/>
          <w:szCs w:val="24"/>
        </w:rPr>
      </w:pPr>
      <w:r w:rsidRPr="0022764B">
        <w:rPr>
          <w:sz w:val="24"/>
          <w:szCs w:val="24"/>
        </w:rPr>
        <w:t xml:space="preserve">The REACH Regulation (Regulation (EC) No 1907/2006) is a </w:t>
      </w:r>
      <w:r w:rsidRPr="0022764B">
        <w:rPr>
          <w:b/>
          <w:bCs/>
          <w:sz w:val="24"/>
          <w:szCs w:val="24"/>
        </w:rPr>
        <w:t>different legal framework</w:t>
      </w:r>
      <w:r w:rsidRPr="0022764B">
        <w:rPr>
          <w:sz w:val="24"/>
          <w:szCs w:val="24"/>
        </w:rPr>
        <w:t>:</w:t>
      </w:r>
    </w:p>
    <w:p w14:paraId="107DBCD2" w14:textId="77777777" w:rsidR="00BC7E1F" w:rsidRPr="0022764B" w:rsidRDefault="00BC7E1F" w:rsidP="00BC7E1F">
      <w:pPr>
        <w:numPr>
          <w:ilvl w:val="0"/>
          <w:numId w:val="6"/>
        </w:numPr>
        <w:jc w:val="both"/>
        <w:rPr>
          <w:sz w:val="24"/>
          <w:szCs w:val="24"/>
        </w:rPr>
      </w:pPr>
      <w:r w:rsidRPr="0022764B">
        <w:rPr>
          <w:sz w:val="24"/>
          <w:szCs w:val="24"/>
        </w:rPr>
        <w:t xml:space="preserve">It allows for </w:t>
      </w:r>
      <w:r w:rsidRPr="0022764B">
        <w:rPr>
          <w:b/>
          <w:bCs/>
          <w:sz w:val="24"/>
          <w:szCs w:val="24"/>
        </w:rPr>
        <w:t>socioeconomic analysis</w:t>
      </w:r>
      <w:r w:rsidRPr="0022764B">
        <w:rPr>
          <w:sz w:val="24"/>
          <w:szCs w:val="24"/>
        </w:rPr>
        <w:t xml:space="preserve"> and long transitional periods based on enforcement feasibility and supply chain adaptation.</w:t>
      </w:r>
    </w:p>
    <w:p w14:paraId="42C186E7" w14:textId="77777777" w:rsidR="00BC7E1F" w:rsidRPr="0022764B" w:rsidRDefault="00BC7E1F" w:rsidP="00BC7E1F">
      <w:pPr>
        <w:numPr>
          <w:ilvl w:val="0"/>
          <w:numId w:val="6"/>
        </w:numPr>
        <w:jc w:val="both"/>
        <w:rPr>
          <w:sz w:val="24"/>
          <w:szCs w:val="24"/>
        </w:rPr>
      </w:pPr>
      <w:r w:rsidRPr="0022764B">
        <w:rPr>
          <w:sz w:val="24"/>
          <w:szCs w:val="24"/>
        </w:rPr>
        <w:t xml:space="preserve">The Cosmetics Regulation does not include such provisions; its primary objective is the </w:t>
      </w:r>
      <w:r w:rsidRPr="0022764B">
        <w:rPr>
          <w:b/>
          <w:bCs/>
          <w:sz w:val="24"/>
          <w:szCs w:val="24"/>
        </w:rPr>
        <w:t>protection of human health</w:t>
      </w:r>
      <w:r w:rsidRPr="0022764B">
        <w:rPr>
          <w:sz w:val="24"/>
          <w:szCs w:val="24"/>
        </w:rPr>
        <w:t>.</w:t>
      </w:r>
    </w:p>
    <w:p w14:paraId="156111C1" w14:textId="77777777" w:rsidR="00BC7E1F" w:rsidRPr="0022764B" w:rsidRDefault="00BC7E1F" w:rsidP="0022764B">
      <w:pPr>
        <w:numPr>
          <w:ilvl w:val="0"/>
          <w:numId w:val="6"/>
        </w:numPr>
        <w:spacing w:after="360"/>
        <w:jc w:val="both"/>
        <w:rPr>
          <w:sz w:val="24"/>
          <w:szCs w:val="24"/>
        </w:rPr>
      </w:pPr>
      <w:r w:rsidRPr="0022764B">
        <w:rPr>
          <w:sz w:val="24"/>
          <w:szCs w:val="24"/>
        </w:rPr>
        <w:t>For CMR 1A/1B substances, a ban is automatic unless an Article 15(2) derogation is granted.</w:t>
      </w:r>
    </w:p>
    <w:p w14:paraId="3F35C9DA" w14:textId="79FD4F13" w:rsidR="00BC7E1F" w:rsidRPr="0022764B" w:rsidRDefault="00BC7E1F" w:rsidP="00BC7E1F">
      <w:pPr>
        <w:jc w:val="both"/>
        <w:rPr>
          <w:b/>
          <w:bCs/>
          <w:sz w:val="28"/>
          <w:szCs w:val="28"/>
        </w:rPr>
      </w:pPr>
      <w:r w:rsidRPr="0022764B">
        <w:rPr>
          <w:b/>
          <w:bCs/>
          <w:sz w:val="28"/>
          <w:szCs w:val="28"/>
        </w:rPr>
        <w:t>Q</w:t>
      </w:r>
      <w:r w:rsidR="0022764B" w:rsidRPr="0022764B">
        <w:rPr>
          <w:b/>
          <w:bCs/>
          <w:sz w:val="28"/>
          <w:szCs w:val="28"/>
        </w:rPr>
        <w:t>6</w:t>
      </w:r>
      <w:r w:rsidRPr="0022764B">
        <w:rPr>
          <w:b/>
          <w:bCs/>
          <w:sz w:val="28"/>
          <w:szCs w:val="28"/>
        </w:rPr>
        <w:t xml:space="preserve"> – What if TPO is fully polymerised in the nail gel and does not pose exposure risk?</w:t>
      </w:r>
    </w:p>
    <w:p w14:paraId="0D8D876A" w14:textId="77777777" w:rsidR="00BC7E1F" w:rsidRPr="0022764B" w:rsidRDefault="00BC7E1F" w:rsidP="00BC7E1F">
      <w:pPr>
        <w:jc w:val="both"/>
        <w:rPr>
          <w:sz w:val="24"/>
          <w:szCs w:val="24"/>
        </w:rPr>
      </w:pPr>
      <w:r w:rsidRPr="0022764B">
        <w:rPr>
          <w:sz w:val="24"/>
          <w:szCs w:val="24"/>
        </w:rPr>
        <w:t>The SCCS did conclude in 2015 (SCCS/1558/15) that TPO was safe in certain professional UV-cured nail gels up to 5% under specified conditions.</w:t>
      </w:r>
    </w:p>
    <w:p w14:paraId="0990B179" w14:textId="1F7E3EA9" w:rsidR="00BC7E1F" w:rsidRPr="0022764B" w:rsidRDefault="00BC7E1F" w:rsidP="0022764B">
      <w:pPr>
        <w:ind w:left="360"/>
        <w:jc w:val="both"/>
        <w:rPr>
          <w:sz w:val="24"/>
          <w:szCs w:val="24"/>
        </w:rPr>
      </w:pPr>
      <w:r w:rsidRPr="0022764B">
        <w:rPr>
          <w:sz w:val="24"/>
          <w:szCs w:val="24"/>
        </w:rPr>
        <w:t xml:space="preserve">However, this opinion </w:t>
      </w:r>
      <w:r w:rsidRPr="0022764B">
        <w:rPr>
          <w:sz w:val="24"/>
          <w:szCs w:val="24"/>
          <w:u w:val="single"/>
        </w:rPr>
        <w:t>predates</w:t>
      </w:r>
      <w:r w:rsidRPr="0022764B">
        <w:rPr>
          <w:sz w:val="24"/>
          <w:szCs w:val="24"/>
        </w:rPr>
        <w:t xml:space="preserve"> the </w:t>
      </w:r>
      <w:r w:rsidR="00AD3C6C" w:rsidRPr="0022764B">
        <w:rPr>
          <w:sz w:val="24"/>
          <w:szCs w:val="24"/>
        </w:rPr>
        <w:t xml:space="preserve">new </w:t>
      </w:r>
      <w:r w:rsidRPr="0022764B">
        <w:rPr>
          <w:sz w:val="24"/>
          <w:szCs w:val="24"/>
        </w:rPr>
        <w:t>CMR classification</w:t>
      </w:r>
      <w:r w:rsidR="00AD3C6C" w:rsidRPr="0022764B">
        <w:rPr>
          <w:sz w:val="24"/>
          <w:szCs w:val="24"/>
        </w:rPr>
        <w:t>, that upgra</w:t>
      </w:r>
      <w:r w:rsidR="009B55F0">
        <w:rPr>
          <w:sz w:val="24"/>
          <w:szCs w:val="24"/>
        </w:rPr>
        <w:t>d</w:t>
      </w:r>
      <w:r w:rsidR="00AD3C6C" w:rsidRPr="0022764B">
        <w:rPr>
          <w:sz w:val="24"/>
          <w:szCs w:val="24"/>
        </w:rPr>
        <w:t>ed the classification from Cat.2 to Cat.1.</w:t>
      </w:r>
    </w:p>
    <w:p w14:paraId="0EF518C5" w14:textId="3675C57D" w:rsidR="00BC7E1F" w:rsidRPr="0022764B" w:rsidRDefault="00BC7E1F" w:rsidP="0022764B">
      <w:pPr>
        <w:spacing w:after="360"/>
        <w:ind w:left="360"/>
        <w:jc w:val="both"/>
        <w:rPr>
          <w:sz w:val="24"/>
          <w:szCs w:val="24"/>
        </w:rPr>
      </w:pPr>
      <w:r w:rsidRPr="0022764B">
        <w:rPr>
          <w:sz w:val="24"/>
          <w:szCs w:val="24"/>
        </w:rPr>
        <w:t>Once a CMR 1A/1B classification is adopted, earlier SCCS opinions no longer apply unless updated in the context of a new Article 15(2) request</w:t>
      </w:r>
      <w:r w:rsidR="00AD3C6C" w:rsidRPr="0022764B">
        <w:rPr>
          <w:sz w:val="24"/>
          <w:szCs w:val="24"/>
        </w:rPr>
        <w:t>. In this case a new SCCS assessment is necessary.</w:t>
      </w:r>
    </w:p>
    <w:p w14:paraId="590E2D21" w14:textId="1C4EA3E3" w:rsidR="00BC7E1F" w:rsidRPr="0022764B" w:rsidRDefault="00BC7E1F" w:rsidP="00BC7E1F">
      <w:pPr>
        <w:jc w:val="both"/>
        <w:rPr>
          <w:b/>
          <w:bCs/>
          <w:sz w:val="28"/>
          <w:szCs w:val="28"/>
        </w:rPr>
      </w:pPr>
      <w:r w:rsidRPr="0022764B">
        <w:rPr>
          <w:b/>
          <w:bCs/>
          <w:sz w:val="28"/>
          <w:szCs w:val="28"/>
        </w:rPr>
        <w:t>Q</w:t>
      </w:r>
      <w:r w:rsidR="0022764B">
        <w:rPr>
          <w:b/>
          <w:bCs/>
          <w:sz w:val="28"/>
          <w:szCs w:val="28"/>
        </w:rPr>
        <w:t>7</w:t>
      </w:r>
      <w:r w:rsidRPr="0022764B">
        <w:rPr>
          <w:b/>
          <w:bCs/>
          <w:sz w:val="28"/>
          <w:szCs w:val="28"/>
        </w:rPr>
        <w:t xml:space="preserve"> – What should companies and professionals do now?</w:t>
      </w:r>
    </w:p>
    <w:p w14:paraId="0FE6359D" w14:textId="77777777" w:rsidR="00BC7E1F" w:rsidRPr="0022764B" w:rsidRDefault="00BC7E1F" w:rsidP="00BC7E1F">
      <w:pPr>
        <w:numPr>
          <w:ilvl w:val="0"/>
          <w:numId w:val="9"/>
        </w:numPr>
        <w:jc w:val="both"/>
        <w:rPr>
          <w:sz w:val="24"/>
          <w:szCs w:val="24"/>
        </w:rPr>
      </w:pPr>
      <w:r w:rsidRPr="0022764B">
        <w:rPr>
          <w:sz w:val="24"/>
          <w:szCs w:val="24"/>
        </w:rPr>
        <w:t xml:space="preserve">Discontinue sale, supply, and professional use of TPO-containing products by </w:t>
      </w:r>
      <w:r w:rsidRPr="0022764B">
        <w:rPr>
          <w:b/>
          <w:bCs/>
          <w:sz w:val="24"/>
          <w:szCs w:val="24"/>
        </w:rPr>
        <w:t>1 September 2025</w:t>
      </w:r>
      <w:r w:rsidRPr="0022764B">
        <w:rPr>
          <w:sz w:val="24"/>
          <w:szCs w:val="24"/>
        </w:rPr>
        <w:t>.</w:t>
      </w:r>
    </w:p>
    <w:p w14:paraId="0DA38DB9" w14:textId="77777777" w:rsidR="00BC7E1F" w:rsidRPr="0022764B" w:rsidRDefault="00BC7E1F" w:rsidP="00BC7E1F">
      <w:pPr>
        <w:numPr>
          <w:ilvl w:val="0"/>
          <w:numId w:val="9"/>
        </w:numPr>
        <w:jc w:val="both"/>
        <w:rPr>
          <w:sz w:val="24"/>
          <w:szCs w:val="24"/>
        </w:rPr>
      </w:pPr>
      <w:r w:rsidRPr="0022764B">
        <w:rPr>
          <w:sz w:val="24"/>
          <w:szCs w:val="24"/>
        </w:rPr>
        <w:lastRenderedPageBreak/>
        <w:t>Withdraw remaining stock from professional premises.</w:t>
      </w:r>
    </w:p>
    <w:p w14:paraId="5680A2D6" w14:textId="77777777" w:rsidR="00BC7E1F" w:rsidRPr="0022764B" w:rsidRDefault="00BC7E1F" w:rsidP="00BC7E1F">
      <w:pPr>
        <w:numPr>
          <w:ilvl w:val="0"/>
          <w:numId w:val="9"/>
        </w:numPr>
        <w:jc w:val="both"/>
        <w:rPr>
          <w:sz w:val="24"/>
          <w:szCs w:val="24"/>
        </w:rPr>
      </w:pPr>
      <w:r w:rsidRPr="0022764B">
        <w:rPr>
          <w:sz w:val="24"/>
          <w:szCs w:val="24"/>
        </w:rPr>
        <w:t>Seek compliant alternatives from suppliers.</w:t>
      </w:r>
    </w:p>
    <w:p w14:paraId="1FF3C12A" w14:textId="77777777" w:rsidR="00BC7E1F" w:rsidRPr="0022764B" w:rsidRDefault="00BC7E1F" w:rsidP="0022764B">
      <w:pPr>
        <w:numPr>
          <w:ilvl w:val="0"/>
          <w:numId w:val="9"/>
        </w:numPr>
        <w:spacing w:after="360"/>
        <w:jc w:val="both"/>
        <w:rPr>
          <w:sz w:val="24"/>
          <w:szCs w:val="24"/>
        </w:rPr>
      </w:pPr>
      <w:r w:rsidRPr="0022764B">
        <w:rPr>
          <w:sz w:val="24"/>
          <w:szCs w:val="24"/>
        </w:rPr>
        <w:t xml:space="preserve">For future substances of concern, monitor regulatory developments early — discussions on TPO started at Working Group level in </w:t>
      </w:r>
      <w:r w:rsidRPr="0022764B">
        <w:rPr>
          <w:b/>
          <w:bCs/>
          <w:sz w:val="24"/>
          <w:szCs w:val="24"/>
        </w:rPr>
        <w:t>March 2024</w:t>
      </w:r>
      <w:r w:rsidRPr="0022764B">
        <w:rPr>
          <w:sz w:val="24"/>
          <w:szCs w:val="24"/>
        </w:rPr>
        <w:t>.</w:t>
      </w:r>
    </w:p>
    <w:p w14:paraId="4E0A4850" w14:textId="3DD352C5" w:rsidR="00BC7E1F" w:rsidRPr="0022764B" w:rsidRDefault="00BC7E1F" w:rsidP="00BC7E1F">
      <w:pPr>
        <w:jc w:val="both"/>
        <w:rPr>
          <w:b/>
          <w:bCs/>
          <w:sz w:val="28"/>
          <w:szCs w:val="28"/>
        </w:rPr>
      </w:pPr>
      <w:r w:rsidRPr="0022764B">
        <w:rPr>
          <w:b/>
          <w:bCs/>
          <w:sz w:val="28"/>
          <w:szCs w:val="28"/>
        </w:rPr>
        <w:t>Q</w:t>
      </w:r>
      <w:r w:rsidR="0022764B">
        <w:rPr>
          <w:b/>
          <w:bCs/>
          <w:sz w:val="28"/>
          <w:szCs w:val="28"/>
        </w:rPr>
        <w:t>8</w:t>
      </w:r>
      <w:r w:rsidRPr="0022764B">
        <w:rPr>
          <w:b/>
          <w:bCs/>
          <w:sz w:val="28"/>
          <w:szCs w:val="28"/>
        </w:rPr>
        <w:t xml:space="preserve"> – Will the rules </w:t>
      </w:r>
      <w:r w:rsidR="00B77DED" w:rsidRPr="0022764B">
        <w:rPr>
          <w:b/>
          <w:bCs/>
          <w:sz w:val="28"/>
          <w:szCs w:val="28"/>
        </w:rPr>
        <w:t xml:space="preserve">change </w:t>
      </w:r>
      <w:r w:rsidRPr="0022764B">
        <w:rPr>
          <w:b/>
          <w:bCs/>
          <w:sz w:val="28"/>
          <w:szCs w:val="28"/>
        </w:rPr>
        <w:t>to allow more flexibility in future?</w:t>
      </w:r>
    </w:p>
    <w:p w14:paraId="7B85038B" w14:textId="0001412D" w:rsidR="00BC7E1F" w:rsidRPr="0022764B" w:rsidRDefault="00BC7E1F" w:rsidP="00BC7E1F">
      <w:pPr>
        <w:jc w:val="both"/>
        <w:rPr>
          <w:sz w:val="24"/>
          <w:szCs w:val="24"/>
        </w:rPr>
      </w:pPr>
      <w:r w:rsidRPr="0022764B">
        <w:rPr>
          <w:sz w:val="24"/>
          <w:szCs w:val="24"/>
        </w:rPr>
        <w:t xml:space="preserve">The Commission has acknowledged that the current framework offers little flexibility for </w:t>
      </w:r>
      <w:r w:rsidR="00AD3C6C" w:rsidRPr="0022764B">
        <w:rPr>
          <w:sz w:val="24"/>
          <w:szCs w:val="24"/>
        </w:rPr>
        <w:t xml:space="preserve">economic operators and especially </w:t>
      </w:r>
      <w:r w:rsidRPr="0022764B">
        <w:rPr>
          <w:sz w:val="24"/>
          <w:szCs w:val="24"/>
        </w:rPr>
        <w:t>SMEs.</w:t>
      </w:r>
    </w:p>
    <w:p w14:paraId="38E5ED93" w14:textId="77777777" w:rsidR="00BC7E1F" w:rsidRPr="0022764B" w:rsidRDefault="00BC7E1F" w:rsidP="00BC7E1F">
      <w:pPr>
        <w:numPr>
          <w:ilvl w:val="0"/>
          <w:numId w:val="10"/>
        </w:numPr>
        <w:jc w:val="both"/>
        <w:rPr>
          <w:sz w:val="24"/>
          <w:szCs w:val="24"/>
        </w:rPr>
      </w:pPr>
      <w:r w:rsidRPr="0022764B">
        <w:rPr>
          <w:sz w:val="24"/>
          <w:szCs w:val="24"/>
        </w:rPr>
        <w:t xml:space="preserve">A </w:t>
      </w:r>
      <w:r w:rsidRPr="0022764B">
        <w:rPr>
          <w:b/>
          <w:bCs/>
          <w:sz w:val="24"/>
          <w:szCs w:val="24"/>
        </w:rPr>
        <w:t>proposal to revise the Cosmetics Regulation</w:t>
      </w:r>
      <w:r w:rsidRPr="0022764B">
        <w:rPr>
          <w:sz w:val="24"/>
          <w:szCs w:val="24"/>
        </w:rPr>
        <w:t xml:space="preserve"> has been tabled to improve predictability and stakeholder engagement.</w:t>
      </w:r>
    </w:p>
    <w:p w14:paraId="67D7E077" w14:textId="3DA3E994" w:rsidR="00BC7E1F" w:rsidRPr="0022764B" w:rsidRDefault="00BC7E1F" w:rsidP="00BC7E1F">
      <w:pPr>
        <w:numPr>
          <w:ilvl w:val="0"/>
          <w:numId w:val="10"/>
        </w:numPr>
        <w:jc w:val="both"/>
        <w:rPr>
          <w:sz w:val="24"/>
          <w:szCs w:val="24"/>
        </w:rPr>
      </w:pPr>
      <w:r w:rsidRPr="0022764B">
        <w:rPr>
          <w:sz w:val="24"/>
          <w:szCs w:val="24"/>
        </w:rPr>
        <w:t xml:space="preserve">Until </w:t>
      </w:r>
      <w:r w:rsidR="004A0A53" w:rsidRPr="0022764B">
        <w:rPr>
          <w:sz w:val="24"/>
          <w:szCs w:val="24"/>
        </w:rPr>
        <w:t>this proposal will be formally endorsed by the European Parliament and the Council</w:t>
      </w:r>
      <w:r w:rsidRPr="0022764B">
        <w:rPr>
          <w:sz w:val="24"/>
          <w:szCs w:val="24"/>
        </w:rPr>
        <w:t>, the Commission must apply the law as it currently stands.</w:t>
      </w:r>
    </w:p>
    <w:p w14:paraId="2F4C0161" w14:textId="77777777" w:rsidR="004435F5" w:rsidRPr="0022764B" w:rsidRDefault="004435F5" w:rsidP="00BC7E1F">
      <w:pPr>
        <w:jc w:val="both"/>
        <w:rPr>
          <w:sz w:val="24"/>
          <w:szCs w:val="24"/>
        </w:rPr>
      </w:pPr>
    </w:p>
    <w:sectPr w:rsidR="004435F5" w:rsidRPr="0022764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63872" w14:textId="77777777" w:rsidR="00BC7E1F" w:rsidRDefault="00BC7E1F" w:rsidP="00BC7E1F">
      <w:pPr>
        <w:spacing w:after="0" w:line="240" w:lineRule="auto"/>
      </w:pPr>
      <w:r>
        <w:separator/>
      </w:r>
    </w:p>
  </w:endnote>
  <w:endnote w:type="continuationSeparator" w:id="0">
    <w:p w14:paraId="71126D24" w14:textId="77777777" w:rsidR="00BC7E1F" w:rsidRDefault="00BC7E1F" w:rsidP="00BC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5F98" w14:textId="77777777" w:rsidR="00BC7E1F" w:rsidRDefault="00BC7E1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219178"/>
      <w:docPartObj>
        <w:docPartGallery w:val="Page Numbers (Bottom of Page)"/>
        <w:docPartUnique/>
      </w:docPartObj>
    </w:sdtPr>
    <w:sdtEndPr>
      <w:rPr>
        <w:noProof/>
      </w:rPr>
    </w:sdtEndPr>
    <w:sdtContent>
      <w:p w14:paraId="3E722299" w14:textId="330B2AB2" w:rsidR="00BC7E1F" w:rsidRDefault="00BC7E1F">
        <w:pPr>
          <w:pStyle w:val="ab"/>
          <w:jc w:val="center"/>
        </w:pPr>
        <w:r>
          <w:fldChar w:fldCharType="begin"/>
        </w:r>
        <w:r>
          <w:instrText xml:space="preserve"> PAGE   \* MERGEFORMAT </w:instrText>
        </w:r>
        <w:r>
          <w:fldChar w:fldCharType="separate"/>
        </w:r>
        <w:r w:rsidR="00F5210E">
          <w:rPr>
            <w:noProof/>
          </w:rPr>
          <w:t>3</w:t>
        </w:r>
        <w:r>
          <w:rPr>
            <w:noProof/>
          </w:rPr>
          <w:fldChar w:fldCharType="end"/>
        </w:r>
      </w:p>
    </w:sdtContent>
  </w:sdt>
  <w:p w14:paraId="173988BF" w14:textId="77777777" w:rsidR="00BC7E1F" w:rsidRDefault="00BC7E1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B1AD" w14:textId="77777777" w:rsidR="00BC7E1F" w:rsidRDefault="00BC7E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27E9" w14:textId="77777777" w:rsidR="00BC7E1F" w:rsidRDefault="00BC7E1F" w:rsidP="00BC7E1F">
      <w:pPr>
        <w:spacing w:after="0" w:line="240" w:lineRule="auto"/>
      </w:pPr>
      <w:r>
        <w:separator/>
      </w:r>
    </w:p>
  </w:footnote>
  <w:footnote w:type="continuationSeparator" w:id="0">
    <w:p w14:paraId="74FBE6E6" w14:textId="77777777" w:rsidR="00BC7E1F" w:rsidRDefault="00BC7E1F" w:rsidP="00BC7E1F">
      <w:pPr>
        <w:spacing w:after="0" w:line="240" w:lineRule="auto"/>
      </w:pPr>
      <w:r>
        <w:continuationSeparator/>
      </w:r>
    </w:p>
  </w:footnote>
  <w:footnote w:id="1">
    <w:p w14:paraId="5F73BC41" w14:textId="02E78B4D" w:rsidR="00456C42" w:rsidRPr="0022764B" w:rsidRDefault="00456C42">
      <w:pPr>
        <w:pStyle w:val="af0"/>
      </w:pPr>
      <w:r>
        <w:rPr>
          <w:rStyle w:val="af1"/>
        </w:rPr>
        <w:footnoteRef/>
      </w:r>
      <w:r>
        <w:t xml:space="preserve"> 25 Member States voted in favour, one against and one abstained.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CD3C" w14:textId="77777777" w:rsidR="00BC7E1F" w:rsidRDefault="00BC7E1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563E" w14:textId="77777777" w:rsidR="00BC7E1F" w:rsidRDefault="00BC7E1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FE64" w14:textId="77777777" w:rsidR="00BC7E1F" w:rsidRDefault="00BC7E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0E4"/>
    <w:multiLevelType w:val="multilevel"/>
    <w:tmpl w:val="62303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1C41"/>
    <w:multiLevelType w:val="multilevel"/>
    <w:tmpl w:val="1A5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73B98"/>
    <w:multiLevelType w:val="multilevel"/>
    <w:tmpl w:val="10A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41B37"/>
    <w:multiLevelType w:val="multilevel"/>
    <w:tmpl w:val="643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82355"/>
    <w:multiLevelType w:val="multilevel"/>
    <w:tmpl w:val="3AE4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26A4F"/>
    <w:multiLevelType w:val="multilevel"/>
    <w:tmpl w:val="3BD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040ED"/>
    <w:multiLevelType w:val="multilevel"/>
    <w:tmpl w:val="00F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40B8D"/>
    <w:multiLevelType w:val="multilevel"/>
    <w:tmpl w:val="883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D45CA"/>
    <w:multiLevelType w:val="multilevel"/>
    <w:tmpl w:val="583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D3BDF"/>
    <w:multiLevelType w:val="multilevel"/>
    <w:tmpl w:val="3722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95FD1"/>
    <w:multiLevelType w:val="multilevel"/>
    <w:tmpl w:val="563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15B79"/>
    <w:multiLevelType w:val="multilevel"/>
    <w:tmpl w:val="ED3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23103"/>
    <w:multiLevelType w:val="multilevel"/>
    <w:tmpl w:val="E11C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05B42"/>
    <w:multiLevelType w:val="multilevel"/>
    <w:tmpl w:val="7E14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700DB"/>
    <w:multiLevelType w:val="multilevel"/>
    <w:tmpl w:val="1BDA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9"/>
  </w:num>
  <w:num w:numId="4">
    <w:abstractNumId w:val="2"/>
  </w:num>
  <w:num w:numId="5">
    <w:abstractNumId w:val="7"/>
  </w:num>
  <w:num w:numId="6">
    <w:abstractNumId w:val="8"/>
  </w:num>
  <w:num w:numId="7">
    <w:abstractNumId w:val="1"/>
  </w:num>
  <w:num w:numId="8">
    <w:abstractNumId w:val="10"/>
  </w:num>
  <w:num w:numId="9">
    <w:abstractNumId w:val="13"/>
  </w:num>
  <w:num w:numId="10">
    <w:abstractNumId w:val="3"/>
  </w:num>
  <w:num w:numId="11">
    <w:abstractNumId w:val="4"/>
  </w:num>
  <w:num w:numId="12">
    <w:abstractNumId w:val="6"/>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C7E1F"/>
    <w:rsid w:val="000052FA"/>
    <w:rsid w:val="0001775E"/>
    <w:rsid w:val="00020DAD"/>
    <w:rsid w:val="00025AA9"/>
    <w:rsid w:val="00031F3A"/>
    <w:rsid w:val="0005744E"/>
    <w:rsid w:val="000745E5"/>
    <w:rsid w:val="00074844"/>
    <w:rsid w:val="00075B0A"/>
    <w:rsid w:val="000802B2"/>
    <w:rsid w:val="000827E1"/>
    <w:rsid w:val="00087529"/>
    <w:rsid w:val="00092859"/>
    <w:rsid w:val="00096898"/>
    <w:rsid w:val="000D3649"/>
    <w:rsid w:val="000E2FA3"/>
    <w:rsid w:val="000F59EC"/>
    <w:rsid w:val="001026A1"/>
    <w:rsid w:val="00102DAE"/>
    <w:rsid w:val="001105AB"/>
    <w:rsid w:val="00112E8C"/>
    <w:rsid w:val="001259C9"/>
    <w:rsid w:val="001321D5"/>
    <w:rsid w:val="00147597"/>
    <w:rsid w:val="0015091E"/>
    <w:rsid w:val="00152DD8"/>
    <w:rsid w:val="0015501B"/>
    <w:rsid w:val="00162115"/>
    <w:rsid w:val="00163143"/>
    <w:rsid w:val="001829AF"/>
    <w:rsid w:val="00186AEC"/>
    <w:rsid w:val="00194420"/>
    <w:rsid w:val="00194698"/>
    <w:rsid w:val="001B15CF"/>
    <w:rsid w:val="001B4220"/>
    <w:rsid w:val="001B714D"/>
    <w:rsid w:val="001B7159"/>
    <w:rsid w:val="001C7475"/>
    <w:rsid w:val="001D176E"/>
    <w:rsid w:val="001D1A33"/>
    <w:rsid w:val="001D2E27"/>
    <w:rsid w:val="001E2895"/>
    <w:rsid w:val="001E780E"/>
    <w:rsid w:val="001F5545"/>
    <w:rsid w:val="00207E62"/>
    <w:rsid w:val="0022133C"/>
    <w:rsid w:val="002237D1"/>
    <w:rsid w:val="00223D54"/>
    <w:rsid w:val="0022764B"/>
    <w:rsid w:val="002278CC"/>
    <w:rsid w:val="00231AA5"/>
    <w:rsid w:val="002412F3"/>
    <w:rsid w:val="00254CB3"/>
    <w:rsid w:val="00260AE4"/>
    <w:rsid w:val="0026383D"/>
    <w:rsid w:val="0026785B"/>
    <w:rsid w:val="0027726E"/>
    <w:rsid w:val="002A6130"/>
    <w:rsid w:val="002B1EB9"/>
    <w:rsid w:val="002C678C"/>
    <w:rsid w:val="002D1802"/>
    <w:rsid w:val="002E0857"/>
    <w:rsid w:val="002E7D74"/>
    <w:rsid w:val="002F3655"/>
    <w:rsid w:val="00301A5E"/>
    <w:rsid w:val="0031792B"/>
    <w:rsid w:val="00322819"/>
    <w:rsid w:val="003263A6"/>
    <w:rsid w:val="00327B49"/>
    <w:rsid w:val="00330184"/>
    <w:rsid w:val="00333C1A"/>
    <w:rsid w:val="00345316"/>
    <w:rsid w:val="003470CF"/>
    <w:rsid w:val="00347688"/>
    <w:rsid w:val="003523B6"/>
    <w:rsid w:val="00353EEC"/>
    <w:rsid w:val="00362CE4"/>
    <w:rsid w:val="003631C8"/>
    <w:rsid w:val="0036321E"/>
    <w:rsid w:val="00372ABE"/>
    <w:rsid w:val="0037768A"/>
    <w:rsid w:val="003A2040"/>
    <w:rsid w:val="003B4049"/>
    <w:rsid w:val="003C1242"/>
    <w:rsid w:val="003C3FFA"/>
    <w:rsid w:val="003D3F90"/>
    <w:rsid w:val="00401433"/>
    <w:rsid w:val="00404849"/>
    <w:rsid w:val="004127DB"/>
    <w:rsid w:val="0043232A"/>
    <w:rsid w:val="00432E86"/>
    <w:rsid w:val="004435F5"/>
    <w:rsid w:val="00446376"/>
    <w:rsid w:val="00451418"/>
    <w:rsid w:val="00456C42"/>
    <w:rsid w:val="00461CFE"/>
    <w:rsid w:val="00466504"/>
    <w:rsid w:val="00481A02"/>
    <w:rsid w:val="004843AB"/>
    <w:rsid w:val="00486E75"/>
    <w:rsid w:val="004A0A53"/>
    <w:rsid w:val="004A56A6"/>
    <w:rsid w:val="004B0E49"/>
    <w:rsid w:val="004B14A8"/>
    <w:rsid w:val="004B71D7"/>
    <w:rsid w:val="004C5C57"/>
    <w:rsid w:val="004D333B"/>
    <w:rsid w:val="004E7E46"/>
    <w:rsid w:val="0050444E"/>
    <w:rsid w:val="00506E04"/>
    <w:rsid w:val="00507C41"/>
    <w:rsid w:val="005167E0"/>
    <w:rsid w:val="005212EC"/>
    <w:rsid w:val="00525653"/>
    <w:rsid w:val="00530270"/>
    <w:rsid w:val="005356BC"/>
    <w:rsid w:val="00543786"/>
    <w:rsid w:val="00564C42"/>
    <w:rsid w:val="0056617A"/>
    <w:rsid w:val="005C033B"/>
    <w:rsid w:val="005C56C1"/>
    <w:rsid w:val="005D12FD"/>
    <w:rsid w:val="005D361F"/>
    <w:rsid w:val="005D4706"/>
    <w:rsid w:val="005E2FC5"/>
    <w:rsid w:val="005E7D1E"/>
    <w:rsid w:val="00605C65"/>
    <w:rsid w:val="0061601E"/>
    <w:rsid w:val="00625BD3"/>
    <w:rsid w:val="00626E7D"/>
    <w:rsid w:val="00630F22"/>
    <w:rsid w:val="0063507E"/>
    <w:rsid w:val="00645791"/>
    <w:rsid w:val="0064786E"/>
    <w:rsid w:val="006553E6"/>
    <w:rsid w:val="00666075"/>
    <w:rsid w:val="0067012B"/>
    <w:rsid w:val="00675F10"/>
    <w:rsid w:val="0068487B"/>
    <w:rsid w:val="00686DF7"/>
    <w:rsid w:val="006874E3"/>
    <w:rsid w:val="006964BA"/>
    <w:rsid w:val="006B3275"/>
    <w:rsid w:val="006B3956"/>
    <w:rsid w:val="006C25FC"/>
    <w:rsid w:val="006C5EFD"/>
    <w:rsid w:val="006D35C5"/>
    <w:rsid w:val="00706BA2"/>
    <w:rsid w:val="0071078A"/>
    <w:rsid w:val="007126A5"/>
    <w:rsid w:val="007146A6"/>
    <w:rsid w:val="0072453B"/>
    <w:rsid w:val="00734EEB"/>
    <w:rsid w:val="00745279"/>
    <w:rsid w:val="00755BF4"/>
    <w:rsid w:val="00761D4D"/>
    <w:rsid w:val="0076325D"/>
    <w:rsid w:val="007722DB"/>
    <w:rsid w:val="00774C03"/>
    <w:rsid w:val="00790AC5"/>
    <w:rsid w:val="007958FD"/>
    <w:rsid w:val="00797E74"/>
    <w:rsid w:val="007B5BC4"/>
    <w:rsid w:val="007C6934"/>
    <w:rsid w:val="007D3DA4"/>
    <w:rsid w:val="007D6FE8"/>
    <w:rsid w:val="007F4772"/>
    <w:rsid w:val="00800037"/>
    <w:rsid w:val="00812279"/>
    <w:rsid w:val="008141B7"/>
    <w:rsid w:val="0081484F"/>
    <w:rsid w:val="0082399B"/>
    <w:rsid w:val="00824983"/>
    <w:rsid w:val="00834347"/>
    <w:rsid w:val="00841412"/>
    <w:rsid w:val="00847A09"/>
    <w:rsid w:val="008639AB"/>
    <w:rsid w:val="008659E5"/>
    <w:rsid w:val="00867687"/>
    <w:rsid w:val="008702C2"/>
    <w:rsid w:val="00870935"/>
    <w:rsid w:val="00873FD6"/>
    <w:rsid w:val="00890DA7"/>
    <w:rsid w:val="00893E1F"/>
    <w:rsid w:val="008B1881"/>
    <w:rsid w:val="008C622C"/>
    <w:rsid w:val="008D7084"/>
    <w:rsid w:val="008E1D99"/>
    <w:rsid w:val="0090247E"/>
    <w:rsid w:val="009245A7"/>
    <w:rsid w:val="00926E8E"/>
    <w:rsid w:val="00937CCC"/>
    <w:rsid w:val="00951689"/>
    <w:rsid w:val="00955934"/>
    <w:rsid w:val="00964DF4"/>
    <w:rsid w:val="00982B0B"/>
    <w:rsid w:val="00990018"/>
    <w:rsid w:val="009944C9"/>
    <w:rsid w:val="0099734C"/>
    <w:rsid w:val="009A3CE2"/>
    <w:rsid w:val="009B48FD"/>
    <w:rsid w:val="009B55F0"/>
    <w:rsid w:val="009C2FBE"/>
    <w:rsid w:val="009C5EED"/>
    <w:rsid w:val="009D27D4"/>
    <w:rsid w:val="009D4B97"/>
    <w:rsid w:val="009E16A3"/>
    <w:rsid w:val="009E4B08"/>
    <w:rsid w:val="00A25F9C"/>
    <w:rsid w:val="00A3415A"/>
    <w:rsid w:val="00A36BEE"/>
    <w:rsid w:val="00A42429"/>
    <w:rsid w:val="00A44C07"/>
    <w:rsid w:val="00A45B8D"/>
    <w:rsid w:val="00A64EFF"/>
    <w:rsid w:val="00A870C0"/>
    <w:rsid w:val="00A92140"/>
    <w:rsid w:val="00A92D6B"/>
    <w:rsid w:val="00AB02F4"/>
    <w:rsid w:val="00AB11A5"/>
    <w:rsid w:val="00AB4DEF"/>
    <w:rsid w:val="00AD2343"/>
    <w:rsid w:val="00AD3C6C"/>
    <w:rsid w:val="00AD4938"/>
    <w:rsid w:val="00AD66EC"/>
    <w:rsid w:val="00AE3368"/>
    <w:rsid w:val="00B02091"/>
    <w:rsid w:val="00B02148"/>
    <w:rsid w:val="00B31A69"/>
    <w:rsid w:val="00B47626"/>
    <w:rsid w:val="00B56936"/>
    <w:rsid w:val="00B57212"/>
    <w:rsid w:val="00B77D6A"/>
    <w:rsid w:val="00B77DED"/>
    <w:rsid w:val="00B94E3B"/>
    <w:rsid w:val="00B964A6"/>
    <w:rsid w:val="00BA2DCF"/>
    <w:rsid w:val="00BA613F"/>
    <w:rsid w:val="00BB7B5A"/>
    <w:rsid w:val="00BC09FF"/>
    <w:rsid w:val="00BC6962"/>
    <w:rsid w:val="00BC7E1F"/>
    <w:rsid w:val="00BF1A3A"/>
    <w:rsid w:val="00BF7719"/>
    <w:rsid w:val="00C14414"/>
    <w:rsid w:val="00C60EFB"/>
    <w:rsid w:val="00C9182C"/>
    <w:rsid w:val="00CA3D71"/>
    <w:rsid w:val="00CA4FCF"/>
    <w:rsid w:val="00CB70BE"/>
    <w:rsid w:val="00CC4D72"/>
    <w:rsid w:val="00CD023B"/>
    <w:rsid w:val="00CF50D9"/>
    <w:rsid w:val="00CF6EA6"/>
    <w:rsid w:val="00D2684B"/>
    <w:rsid w:val="00D41E95"/>
    <w:rsid w:val="00D549D1"/>
    <w:rsid w:val="00D57EBE"/>
    <w:rsid w:val="00D63BF2"/>
    <w:rsid w:val="00D7597C"/>
    <w:rsid w:val="00D76622"/>
    <w:rsid w:val="00D76822"/>
    <w:rsid w:val="00D84E7E"/>
    <w:rsid w:val="00D850F9"/>
    <w:rsid w:val="00D8566F"/>
    <w:rsid w:val="00D95B2D"/>
    <w:rsid w:val="00D9676B"/>
    <w:rsid w:val="00DA28DB"/>
    <w:rsid w:val="00DA6090"/>
    <w:rsid w:val="00DC06F6"/>
    <w:rsid w:val="00DC0804"/>
    <w:rsid w:val="00DC2109"/>
    <w:rsid w:val="00DC579F"/>
    <w:rsid w:val="00DD3831"/>
    <w:rsid w:val="00DE0022"/>
    <w:rsid w:val="00DE57B5"/>
    <w:rsid w:val="00DE76FE"/>
    <w:rsid w:val="00DF26E8"/>
    <w:rsid w:val="00E01B42"/>
    <w:rsid w:val="00E02CBC"/>
    <w:rsid w:val="00E05B70"/>
    <w:rsid w:val="00E245CC"/>
    <w:rsid w:val="00E31A8F"/>
    <w:rsid w:val="00E33ADF"/>
    <w:rsid w:val="00E34633"/>
    <w:rsid w:val="00E62F59"/>
    <w:rsid w:val="00E65C49"/>
    <w:rsid w:val="00E65D9D"/>
    <w:rsid w:val="00E86565"/>
    <w:rsid w:val="00E93284"/>
    <w:rsid w:val="00E963D8"/>
    <w:rsid w:val="00E9698B"/>
    <w:rsid w:val="00EB2507"/>
    <w:rsid w:val="00EC419E"/>
    <w:rsid w:val="00ED0E8A"/>
    <w:rsid w:val="00EE320E"/>
    <w:rsid w:val="00EF1CB7"/>
    <w:rsid w:val="00F14469"/>
    <w:rsid w:val="00F27024"/>
    <w:rsid w:val="00F4616D"/>
    <w:rsid w:val="00F46E1E"/>
    <w:rsid w:val="00F47DCD"/>
    <w:rsid w:val="00F51FD3"/>
    <w:rsid w:val="00F5210E"/>
    <w:rsid w:val="00F73506"/>
    <w:rsid w:val="00F82125"/>
    <w:rsid w:val="00F846FA"/>
    <w:rsid w:val="00FA739C"/>
    <w:rsid w:val="00FB7E4C"/>
    <w:rsid w:val="00FC2FAA"/>
    <w:rsid w:val="00FD4A20"/>
    <w:rsid w:val="00FF2A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152D"/>
  <w15:chartTrackingRefBased/>
  <w15:docId w15:val="{7311AC24-30B9-4E52-B324-0CED74B6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BC7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7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7E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7E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7E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7E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7E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7E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7E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7E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7E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7E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7E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7E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7E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7E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7E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7E1F"/>
    <w:rPr>
      <w:rFonts w:eastAsiaTheme="majorEastAsia" w:cstheme="majorBidi"/>
      <w:color w:val="272727" w:themeColor="text1" w:themeTint="D8"/>
    </w:rPr>
  </w:style>
  <w:style w:type="paragraph" w:styleId="a3">
    <w:name w:val="Title"/>
    <w:basedOn w:val="a"/>
    <w:next w:val="a"/>
    <w:link w:val="Char"/>
    <w:uiPriority w:val="10"/>
    <w:qFormat/>
    <w:rsid w:val="00BC7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7E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7E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7E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7E1F"/>
    <w:pPr>
      <w:spacing w:before="160"/>
      <w:jc w:val="center"/>
    </w:pPr>
    <w:rPr>
      <w:i/>
      <w:iCs/>
      <w:color w:val="404040" w:themeColor="text1" w:themeTint="BF"/>
    </w:rPr>
  </w:style>
  <w:style w:type="character" w:customStyle="1" w:styleId="Char1">
    <w:name w:val="Απόσπασμα Char"/>
    <w:basedOn w:val="a0"/>
    <w:link w:val="a5"/>
    <w:uiPriority w:val="29"/>
    <w:rsid w:val="00BC7E1F"/>
    <w:rPr>
      <w:i/>
      <w:iCs/>
      <w:color w:val="404040" w:themeColor="text1" w:themeTint="BF"/>
    </w:rPr>
  </w:style>
  <w:style w:type="paragraph" w:styleId="a6">
    <w:name w:val="List Paragraph"/>
    <w:basedOn w:val="a"/>
    <w:uiPriority w:val="34"/>
    <w:qFormat/>
    <w:rsid w:val="00BC7E1F"/>
    <w:pPr>
      <w:ind w:left="720"/>
      <w:contextualSpacing/>
    </w:pPr>
  </w:style>
  <w:style w:type="character" w:styleId="a7">
    <w:name w:val="Intense Emphasis"/>
    <w:basedOn w:val="a0"/>
    <w:uiPriority w:val="21"/>
    <w:qFormat/>
    <w:rsid w:val="00BC7E1F"/>
    <w:rPr>
      <w:i/>
      <w:iCs/>
      <w:color w:val="0F4761" w:themeColor="accent1" w:themeShade="BF"/>
    </w:rPr>
  </w:style>
  <w:style w:type="paragraph" w:styleId="a8">
    <w:name w:val="Intense Quote"/>
    <w:basedOn w:val="a"/>
    <w:next w:val="a"/>
    <w:link w:val="Char2"/>
    <w:uiPriority w:val="30"/>
    <w:qFormat/>
    <w:rsid w:val="00BC7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C7E1F"/>
    <w:rPr>
      <w:i/>
      <w:iCs/>
      <w:color w:val="0F4761" w:themeColor="accent1" w:themeShade="BF"/>
    </w:rPr>
  </w:style>
  <w:style w:type="character" w:styleId="a9">
    <w:name w:val="Intense Reference"/>
    <w:basedOn w:val="a0"/>
    <w:uiPriority w:val="32"/>
    <w:qFormat/>
    <w:rsid w:val="00BC7E1F"/>
    <w:rPr>
      <w:b/>
      <w:bCs/>
      <w:smallCaps/>
      <w:color w:val="0F4761" w:themeColor="accent1" w:themeShade="BF"/>
      <w:spacing w:val="5"/>
    </w:rPr>
  </w:style>
  <w:style w:type="paragraph" w:styleId="aa">
    <w:name w:val="header"/>
    <w:basedOn w:val="a"/>
    <w:link w:val="Char3"/>
    <w:uiPriority w:val="99"/>
    <w:unhideWhenUsed/>
    <w:rsid w:val="00BC7E1F"/>
    <w:pPr>
      <w:tabs>
        <w:tab w:val="center" w:pos="4513"/>
        <w:tab w:val="right" w:pos="9026"/>
      </w:tabs>
      <w:spacing w:after="0" w:line="240" w:lineRule="auto"/>
    </w:pPr>
  </w:style>
  <w:style w:type="character" w:customStyle="1" w:styleId="Char3">
    <w:name w:val="Κεφαλίδα Char"/>
    <w:basedOn w:val="a0"/>
    <w:link w:val="aa"/>
    <w:uiPriority w:val="99"/>
    <w:rsid w:val="00BC7E1F"/>
  </w:style>
  <w:style w:type="paragraph" w:styleId="ab">
    <w:name w:val="footer"/>
    <w:basedOn w:val="a"/>
    <w:link w:val="Char4"/>
    <w:uiPriority w:val="99"/>
    <w:unhideWhenUsed/>
    <w:rsid w:val="00BC7E1F"/>
    <w:pPr>
      <w:tabs>
        <w:tab w:val="center" w:pos="4513"/>
        <w:tab w:val="right" w:pos="9026"/>
      </w:tabs>
      <w:spacing w:after="0" w:line="240" w:lineRule="auto"/>
    </w:pPr>
  </w:style>
  <w:style w:type="character" w:customStyle="1" w:styleId="Char4">
    <w:name w:val="Υποσέλιδο Char"/>
    <w:basedOn w:val="a0"/>
    <w:link w:val="ab"/>
    <w:uiPriority w:val="99"/>
    <w:rsid w:val="00BC7E1F"/>
  </w:style>
  <w:style w:type="character" w:styleId="ac">
    <w:name w:val="annotation reference"/>
    <w:basedOn w:val="a0"/>
    <w:uiPriority w:val="99"/>
    <w:semiHidden/>
    <w:unhideWhenUsed/>
    <w:rsid w:val="00AD3C6C"/>
    <w:rPr>
      <w:sz w:val="16"/>
      <w:szCs w:val="16"/>
    </w:rPr>
  </w:style>
  <w:style w:type="paragraph" w:styleId="ad">
    <w:name w:val="annotation text"/>
    <w:basedOn w:val="a"/>
    <w:link w:val="Char5"/>
    <w:uiPriority w:val="99"/>
    <w:unhideWhenUsed/>
    <w:rsid w:val="00AD3C6C"/>
    <w:pPr>
      <w:spacing w:line="240" w:lineRule="auto"/>
    </w:pPr>
    <w:rPr>
      <w:sz w:val="20"/>
      <w:szCs w:val="20"/>
    </w:rPr>
  </w:style>
  <w:style w:type="character" w:customStyle="1" w:styleId="Char5">
    <w:name w:val="Κείμενο σχολίου Char"/>
    <w:basedOn w:val="a0"/>
    <w:link w:val="ad"/>
    <w:uiPriority w:val="99"/>
    <w:rsid w:val="00AD3C6C"/>
    <w:rPr>
      <w:sz w:val="20"/>
      <w:szCs w:val="20"/>
    </w:rPr>
  </w:style>
  <w:style w:type="paragraph" w:styleId="ae">
    <w:name w:val="annotation subject"/>
    <w:basedOn w:val="ad"/>
    <w:next w:val="ad"/>
    <w:link w:val="Char6"/>
    <w:uiPriority w:val="99"/>
    <w:semiHidden/>
    <w:unhideWhenUsed/>
    <w:rsid w:val="00AD3C6C"/>
    <w:rPr>
      <w:b/>
      <w:bCs/>
    </w:rPr>
  </w:style>
  <w:style w:type="character" w:customStyle="1" w:styleId="Char6">
    <w:name w:val="Θέμα σχολίου Char"/>
    <w:basedOn w:val="Char5"/>
    <w:link w:val="ae"/>
    <w:uiPriority w:val="99"/>
    <w:semiHidden/>
    <w:rsid w:val="00AD3C6C"/>
    <w:rPr>
      <w:b/>
      <w:bCs/>
      <w:sz w:val="20"/>
      <w:szCs w:val="20"/>
    </w:rPr>
  </w:style>
  <w:style w:type="paragraph" w:styleId="af">
    <w:name w:val="Revision"/>
    <w:hidden/>
    <w:uiPriority w:val="99"/>
    <w:semiHidden/>
    <w:rsid w:val="005E2FC5"/>
    <w:pPr>
      <w:spacing w:after="0" w:line="240" w:lineRule="auto"/>
    </w:pPr>
  </w:style>
  <w:style w:type="paragraph" w:styleId="af0">
    <w:name w:val="footnote text"/>
    <w:basedOn w:val="a"/>
    <w:link w:val="Char7"/>
    <w:uiPriority w:val="99"/>
    <w:semiHidden/>
    <w:unhideWhenUsed/>
    <w:rsid w:val="00456C42"/>
    <w:pPr>
      <w:spacing w:after="0" w:line="240" w:lineRule="auto"/>
    </w:pPr>
    <w:rPr>
      <w:sz w:val="20"/>
      <w:szCs w:val="20"/>
    </w:rPr>
  </w:style>
  <w:style w:type="character" w:customStyle="1" w:styleId="Char7">
    <w:name w:val="Κείμενο υποσημείωσης Char"/>
    <w:basedOn w:val="a0"/>
    <w:link w:val="af0"/>
    <w:uiPriority w:val="99"/>
    <w:semiHidden/>
    <w:rsid w:val="00456C42"/>
    <w:rPr>
      <w:sz w:val="20"/>
      <w:szCs w:val="20"/>
    </w:rPr>
  </w:style>
  <w:style w:type="character" w:styleId="af1">
    <w:name w:val="footnote reference"/>
    <w:basedOn w:val="a0"/>
    <w:uiPriority w:val="99"/>
    <w:semiHidden/>
    <w:unhideWhenUsed/>
    <w:rsid w:val="00456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31">
      <w:bodyDiv w:val="1"/>
      <w:marLeft w:val="0"/>
      <w:marRight w:val="0"/>
      <w:marTop w:val="0"/>
      <w:marBottom w:val="0"/>
      <w:divBdr>
        <w:top w:val="none" w:sz="0" w:space="0" w:color="auto"/>
        <w:left w:val="none" w:sz="0" w:space="0" w:color="auto"/>
        <w:bottom w:val="none" w:sz="0" w:space="0" w:color="auto"/>
        <w:right w:val="none" w:sz="0" w:space="0" w:color="auto"/>
      </w:divBdr>
    </w:div>
    <w:div w:id="129523931">
      <w:bodyDiv w:val="1"/>
      <w:marLeft w:val="0"/>
      <w:marRight w:val="0"/>
      <w:marTop w:val="0"/>
      <w:marBottom w:val="0"/>
      <w:divBdr>
        <w:top w:val="none" w:sz="0" w:space="0" w:color="auto"/>
        <w:left w:val="none" w:sz="0" w:space="0" w:color="auto"/>
        <w:bottom w:val="none" w:sz="0" w:space="0" w:color="auto"/>
        <w:right w:val="none" w:sz="0" w:space="0" w:color="auto"/>
      </w:divBdr>
    </w:div>
    <w:div w:id="238488807">
      <w:bodyDiv w:val="1"/>
      <w:marLeft w:val="0"/>
      <w:marRight w:val="0"/>
      <w:marTop w:val="0"/>
      <w:marBottom w:val="0"/>
      <w:divBdr>
        <w:top w:val="none" w:sz="0" w:space="0" w:color="auto"/>
        <w:left w:val="none" w:sz="0" w:space="0" w:color="auto"/>
        <w:bottom w:val="none" w:sz="0" w:space="0" w:color="auto"/>
        <w:right w:val="none" w:sz="0" w:space="0" w:color="auto"/>
      </w:divBdr>
    </w:div>
    <w:div w:id="277373547">
      <w:bodyDiv w:val="1"/>
      <w:marLeft w:val="0"/>
      <w:marRight w:val="0"/>
      <w:marTop w:val="0"/>
      <w:marBottom w:val="0"/>
      <w:divBdr>
        <w:top w:val="none" w:sz="0" w:space="0" w:color="auto"/>
        <w:left w:val="none" w:sz="0" w:space="0" w:color="auto"/>
        <w:bottom w:val="none" w:sz="0" w:space="0" w:color="auto"/>
        <w:right w:val="none" w:sz="0" w:space="0" w:color="auto"/>
      </w:divBdr>
    </w:div>
    <w:div w:id="312218173">
      <w:bodyDiv w:val="1"/>
      <w:marLeft w:val="0"/>
      <w:marRight w:val="0"/>
      <w:marTop w:val="0"/>
      <w:marBottom w:val="0"/>
      <w:divBdr>
        <w:top w:val="none" w:sz="0" w:space="0" w:color="auto"/>
        <w:left w:val="none" w:sz="0" w:space="0" w:color="auto"/>
        <w:bottom w:val="none" w:sz="0" w:space="0" w:color="auto"/>
        <w:right w:val="none" w:sz="0" w:space="0" w:color="auto"/>
      </w:divBdr>
    </w:div>
    <w:div w:id="390933320">
      <w:bodyDiv w:val="1"/>
      <w:marLeft w:val="0"/>
      <w:marRight w:val="0"/>
      <w:marTop w:val="0"/>
      <w:marBottom w:val="0"/>
      <w:divBdr>
        <w:top w:val="none" w:sz="0" w:space="0" w:color="auto"/>
        <w:left w:val="none" w:sz="0" w:space="0" w:color="auto"/>
        <w:bottom w:val="none" w:sz="0" w:space="0" w:color="auto"/>
        <w:right w:val="none" w:sz="0" w:space="0" w:color="auto"/>
      </w:divBdr>
    </w:div>
    <w:div w:id="854196392">
      <w:bodyDiv w:val="1"/>
      <w:marLeft w:val="0"/>
      <w:marRight w:val="0"/>
      <w:marTop w:val="0"/>
      <w:marBottom w:val="0"/>
      <w:divBdr>
        <w:top w:val="none" w:sz="0" w:space="0" w:color="auto"/>
        <w:left w:val="none" w:sz="0" w:space="0" w:color="auto"/>
        <w:bottom w:val="none" w:sz="0" w:space="0" w:color="auto"/>
        <w:right w:val="none" w:sz="0" w:space="0" w:color="auto"/>
      </w:divBdr>
    </w:div>
    <w:div w:id="1077901823">
      <w:bodyDiv w:val="1"/>
      <w:marLeft w:val="0"/>
      <w:marRight w:val="0"/>
      <w:marTop w:val="0"/>
      <w:marBottom w:val="0"/>
      <w:divBdr>
        <w:top w:val="none" w:sz="0" w:space="0" w:color="auto"/>
        <w:left w:val="none" w:sz="0" w:space="0" w:color="auto"/>
        <w:bottom w:val="none" w:sz="0" w:space="0" w:color="auto"/>
        <w:right w:val="none" w:sz="0" w:space="0" w:color="auto"/>
      </w:divBdr>
    </w:div>
    <w:div w:id="17683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825CB-5EDA-493D-949B-C712A386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6060</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MANIKAS Rizos-Georgios (GROW)</dc:creator>
  <cp:keywords/>
  <dc:description/>
  <cp:lastModifiedBy>ΘΩΜΑΪΔΟΥ ΕΛΕΥΘΕΡΙΑ</cp:lastModifiedBy>
  <cp:revision>2</cp:revision>
  <dcterms:created xsi:type="dcterms:W3CDTF">2025-08-26T07:09:00Z</dcterms:created>
  <dcterms:modified xsi:type="dcterms:W3CDTF">2025-08-26T07:09:00Z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2025-08-05T13:52:44Z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8e7f2fb6-2ef1-49e4-8ce9-26fd187cb16a</vt:lpwstr>
  </property>
  <property fmtid="{D5CDD505-2E9C-101B-9397-08002B2CF9AE}" pid="8" name="MSIP_Label_6bd9ddd1-4d20-43f6-abfa-fc3c07406f94_ContentBits">
    <vt:lpwstr>0</vt:lpwstr>
  </property>
</Properties>
</file>